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8E" w:rsidRDefault="003F348E" w:rsidP="003F348E">
      <w:pPr>
        <w:pStyle w:val="Heading2"/>
        <w:rPr>
          <w:color w:val="984806"/>
        </w:rPr>
      </w:pPr>
      <w:r>
        <w:rPr>
          <w:noProof/>
          <w:color w:val="984806"/>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posOffset>-1905</wp:posOffset>
            </wp:positionV>
            <wp:extent cx="1426210" cy="1238250"/>
            <wp:effectExtent l="19050" t="0" r="2540" b="0"/>
            <wp:wrapSquare wrapText="bothSides"/>
            <wp:docPr id="1" name="Picture 0" descr="ccght re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ht red png.png"/>
                    <pic:cNvPicPr/>
                  </pic:nvPicPr>
                  <pic:blipFill>
                    <a:blip r:embed="rId8" cstate="print"/>
                    <a:stretch>
                      <a:fillRect/>
                    </a:stretch>
                  </pic:blipFill>
                  <pic:spPr>
                    <a:xfrm>
                      <a:off x="0" y="0"/>
                      <a:ext cx="1426210" cy="1238250"/>
                    </a:xfrm>
                    <a:prstGeom prst="rect">
                      <a:avLst/>
                    </a:prstGeom>
                  </pic:spPr>
                </pic:pic>
              </a:graphicData>
            </a:graphic>
          </wp:anchor>
        </w:drawing>
      </w:r>
    </w:p>
    <w:p w:rsidR="003F348E" w:rsidRPr="00FD6032" w:rsidRDefault="003F348E" w:rsidP="003F348E">
      <w:pPr>
        <w:pStyle w:val="Heading2"/>
        <w:ind w:left="3600" w:firstLine="720"/>
        <w:rPr>
          <w:color w:val="984806"/>
        </w:rPr>
      </w:pPr>
      <w:r w:rsidRPr="00FD6032">
        <w:rPr>
          <w:color w:val="984806"/>
        </w:rPr>
        <w:t>DARK</w:t>
      </w:r>
    </w:p>
    <w:p w:rsidR="003F348E" w:rsidRPr="00FD6032" w:rsidRDefault="003F348E" w:rsidP="003F348E">
      <w:pPr>
        <w:pStyle w:val="Heading2"/>
        <w:ind w:left="3600" w:firstLine="720"/>
        <w:rPr>
          <w:color w:val="663300"/>
        </w:rPr>
      </w:pPr>
      <w:r w:rsidRPr="00FD6032">
        <w:rPr>
          <w:color w:val="663300"/>
        </w:rPr>
        <w:t>HEDGES</w:t>
      </w:r>
    </w:p>
    <w:p w:rsidR="003F348E" w:rsidRPr="00FD6032" w:rsidRDefault="003F348E" w:rsidP="003F348E">
      <w:pPr>
        <w:pStyle w:val="Heading2"/>
        <w:ind w:left="3600" w:firstLine="720"/>
        <w:rPr>
          <w:color w:val="482400"/>
        </w:rPr>
      </w:pPr>
      <w:r w:rsidRPr="00FD6032">
        <w:rPr>
          <w:color w:val="482400"/>
        </w:rPr>
        <w:t>PRESERVATION TRUST</w:t>
      </w:r>
    </w:p>
    <w:p w:rsidR="006D196E" w:rsidRDefault="003F348E">
      <w:pPr>
        <w:rPr>
          <w:b/>
        </w:rPr>
      </w:pPr>
      <w:r>
        <w:rPr>
          <w:b/>
        </w:rPr>
        <w:br w:type="textWrapping" w:clear="all"/>
      </w:r>
    </w:p>
    <w:p w:rsidR="006D196E" w:rsidRDefault="006D196E">
      <w:pPr>
        <w:rPr>
          <w:b/>
        </w:rPr>
      </w:pPr>
    </w:p>
    <w:p w:rsidR="00FC5243" w:rsidRPr="00C40820" w:rsidRDefault="006D196E" w:rsidP="00C40820">
      <w:pPr>
        <w:jc w:val="center"/>
        <w:rPr>
          <w:b/>
        </w:rPr>
      </w:pPr>
      <w:r w:rsidRPr="006D196E">
        <w:rPr>
          <w:b/>
        </w:rPr>
        <w:t>INVITATION TO TENDER</w:t>
      </w:r>
      <w:r>
        <w:rPr>
          <w:b/>
        </w:rPr>
        <w:t xml:space="preserve">: </w:t>
      </w:r>
      <w:r w:rsidR="00C40820" w:rsidRPr="00C40820">
        <w:rPr>
          <w:b/>
        </w:rPr>
        <w:t>DESIGN &amp; MANUFACTURE EXTERIOR INTERPRETATION PANEL</w:t>
      </w:r>
      <w:r w:rsidR="00C40820">
        <w:t xml:space="preserve"> </w:t>
      </w:r>
    </w:p>
    <w:p w:rsidR="00477089" w:rsidRDefault="00477089" w:rsidP="00477089">
      <w:pPr>
        <w:jc w:val="center"/>
        <w:rPr>
          <w:b/>
        </w:rPr>
      </w:pPr>
    </w:p>
    <w:p w:rsidR="006D196E" w:rsidRDefault="00477089" w:rsidP="006D196E">
      <w:pPr>
        <w:pStyle w:val="ListParagraph"/>
        <w:numPr>
          <w:ilvl w:val="0"/>
          <w:numId w:val="1"/>
        </w:numPr>
        <w:ind w:left="426" w:hanging="426"/>
        <w:rPr>
          <w:b/>
        </w:rPr>
      </w:pPr>
      <w:r>
        <w:rPr>
          <w:b/>
        </w:rPr>
        <w:t xml:space="preserve">INTRODUCTION </w:t>
      </w:r>
    </w:p>
    <w:p w:rsidR="008A0BBD" w:rsidRDefault="006D196E" w:rsidP="006D196E">
      <w:r>
        <w:t>Causeway Coast &amp; Glens Heritage Trust (CCGHT)</w:t>
      </w:r>
      <w:r w:rsidR="00FC5243">
        <w:t xml:space="preserve"> </w:t>
      </w:r>
      <w:r w:rsidR="009D0BE7">
        <w:t>on behalf of the Dark Hedges Preservation Trust</w:t>
      </w:r>
      <w:r w:rsidR="005610CC">
        <w:t xml:space="preserve"> (DHPT)</w:t>
      </w:r>
      <w:r>
        <w:t xml:space="preserve"> is inviting proposals from suitably qualified individuals or organisation</w:t>
      </w:r>
      <w:r w:rsidR="008236AA">
        <w:t>s</w:t>
      </w:r>
      <w:r>
        <w:t xml:space="preserve"> to undertake </w:t>
      </w:r>
      <w:r w:rsidR="008A0BBD">
        <w:t>the:</w:t>
      </w:r>
    </w:p>
    <w:p w:rsidR="00C40820" w:rsidRDefault="004C3669" w:rsidP="006D196E">
      <w:proofErr w:type="gramStart"/>
      <w:r>
        <w:t>Design and manufacture of</w:t>
      </w:r>
      <w:r w:rsidR="00C40820">
        <w:t xml:space="preserve"> exterior interpretation panel</w:t>
      </w:r>
      <w:r>
        <w:t>s</w:t>
      </w:r>
      <w:r w:rsidR="0093629B">
        <w:t xml:space="preserve"> for T</w:t>
      </w:r>
      <w:r w:rsidR="00C40820">
        <w:t>he Dark Hedges.</w:t>
      </w:r>
      <w:proofErr w:type="gramEnd"/>
    </w:p>
    <w:p w:rsidR="006D196E" w:rsidRDefault="006D196E" w:rsidP="006D196E">
      <w:pPr>
        <w:rPr>
          <w:i/>
        </w:rPr>
      </w:pPr>
      <w:r>
        <w:t>The closing date for return proposals is 12</w:t>
      </w:r>
      <w:r w:rsidR="005C1254">
        <w:t xml:space="preserve"> </w:t>
      </w:r>
      <w:r>
        <w:t>noon on</w:t>
      </w:r>
      <w:r w:rsidRPr="009D0BE7">
        <w:t xml:space="preserve"> </w:t>
      </w:r>
      <w:r w:rsidR="009D0BE7" w:rsidRPr="009D0BE7">
        <w:t xml:space="preserve">Friday </w:t>
      </w:r>
      <w:r w:rsidR="004C3669">
        <w:t>31</w:t>
      </w:r>
      <w:r w:rsidR="004C3669" w:rsidRPr="004C3669">
        <w:rPr>
          <w:vertAlign w:val="superscript"/>
        </w:rPr>
        <w:t>st</w:t>
      </w:r>
      <w:r w:rsidR="004C3669">
        <w:t xml:space="preserve"> October</w:t>
      </w:r>
      <w:r w:rsidR="009D0BE7" w:rsidRPr="009D0BE7">
        <w:t xml:space="preserve"> 2014 </w:t>
      </w:r>
    </w:p>
    <w:p w:rsidR="00C40820" w:rsidRDefault="00C40820" w:rsidP="00940CCD">
      <w:pPr>
        <w:pStyle w:val="ListParagraph"/>
        <w:numPr>
          <w:ilvl w:val="0"/>
          <w:numId w:val="1"/>
        </w:numPr>
        <w:ind w:left="426" w:hanging="426"/>
        <w:rPr>
          <w:b/>
          <w:bCs/>
        </w:rPr>
      </w:pPr>
      <w:r>
        <w:rPr>
          <w:b/>
          <w:bCs/>
        </w:rPr>
        <w:t>BACKGROUND</w:t>
      </w:r>
    </w:p>
    <w:p w:rsidR="00C40820" w:rsidRDefault="00C40820" w:rsidP="00C40820">
      <w:pPr>
        <w:pStyle w:val="ListParagraph"/>
        <w:ind w:left="426"/>
        <w:rPr>
          <w:b/>
          <w:bCs/>
        </w:rPr>
      </w:pPr>
    </w:p>
    <w:p w:rsidR="00C40820" w:rsidRDefault="00C40820" w:rsidP="00C40820">
      <w:pPr>
        <w:pStyle w:val="ListParagraph"/>
        <w:ind w:left="426"/>
        <w:rPr>
          <w:b/>
          <w:bCs/>
        </w:rPr>
      </w:pPr>
      <w:r>
        <w:rPr>
          <w:b/>
          <w:bCs/>
        </w:rPr>
        <w:t>THE DARK HEDGES</w:t>
      </w:r>
    </w:p>
    <w:p w:rsidR="00C40820" w:rsidRDefault="00C40820" w:rsidP="00C40820">
      <w:pPr>
        <w:spacing w:before="100" w:beforeAutospacing="1" w:after="100" w:afterAutospacing="1"/>
        <w:jc w:val="both"/>
      </w:pPr>
      <w:r>
        <w:t>This beautiful avenue of beech trees was planted on the Bregagh Road by the Stuart family in the eighteenth century.  It was intended as a compelling landscape feature to impress visitors as they approached the entrance to their home, Gracehill House in Stranocum.  Two centuries later, the trees remain a magnificent sight and have become known as the Dark Hedges.</w:t>
      </w:r>
      <w:r w:rsidRPr="00C40820">
        <w:t xml:space="preserve"> </w:t>
      </w:r>
      <w:r>
        <w:t>The Dark Hedges is one of the most photographed natural phenomena in Northern Ireland and a popular attraction for tourists from across the world.  It has been painted by hundreds of visiting artists and is a favourite location for wedding photographs.</w:t>
      </w:r>
    </w:p>
    <w:p w:rsidR="00C40820" w:rsidRDefault="00C40820" w:rsidP="00C40820">
      <w:pPr>
        <w:spacing w:before="100" w:beforeAutospacing="1" w:after="100" w:afterAutospacing="1"/>
        <w:jc w:val="both"/>
      </w:pPr>
      <w:r>
        <w:t>More recently it has been featured as the Kings Road in the famous HBO series, Game of Thrones.</w:t>
      </w:r>
    </w:p>
    <w:p w:rsidR="00C40820" w:rsidRPr="00C40820" w:rsidRDefault="00C40820" w:rsidP="00C40820">
      <w:pPr>
        <w:pStyle w:val="ListParagraph"/>
        <w:ind w:left="426"/>
        <w:rPr>
          <w:bCs/>
        </w:rPr>
      </w:pPr>
    </w:p>
    <w:p w:rsidR="00940CCD" w:rsidRPr="00940CCD" w:rsidRDefault="00940CCD" w:rsidP="00C40820">
      <w:pPr>
        <w:pStyle w:val="ListParagraph"/>
        <w:ind w:left="426"/>
        <w:rPr>
          <w:b/>
          <w:bCs/>
        </w:rPr>
      </w:pPr>
      <w:r w:rsidRPr="00940CCD">
        <w:rPr>
          <w:b/>
          <w:bCs/>
        </w:rPr>
        <w:t xml:space="preserve">DARK HEDGES PRESERVATION TRUST </w:t>
      </w:r>
    </w:p>
    <w:p w:rsidR="00940CCD" w:rsidRDefault="00940CCD" w:rsidP="00940CCD">
      <w:pPr>
        <w:pStyle w:val="ListParagraph"/>
        <w:ind w:left="0"/>
        <w:rPr>
          <w:b/>
          <w:bCs/>
        </w:rPr>
      </w:pPr>
    </w:p>
    <w:p w:rsidR="00940CCD" w:rsidRDefault="00940CCD" w:rsidP="00940CCD">
      <w:pPr>
        <w:pStyle w:val="ListParagraph"/>
        <w:ind w:left="0"/>
      </w:pPr>
      <w:r>
        <w:t>The Dark Hedges Preservation Trust was set up to preserve and enhance a significant area of ancient trees which are prominent in the landscape</w:t>
      </w:r>
      <w:r w:rsidR="00DE05B9">
        <w:t xml:space="preserve"> on the Bregagh Road in Stranocum</w:t>
      </w:r>
      <w:r>
        <w:t xml:space="preserve">. In preserving the trees it is also our intention to preserve an area of significant cultural importance and to use this importance to propagate an understanding of the importance of the trees and their significance to the local community. The Dark Hedges Preservation Trust has four aims, to conserve and enhance </w:t>
      </w:r>
      <w:r>
        <w:lastRenderedPageBreak/>
        <w:t>the Dark Hedges, utilise the hedges as a learning tool and improve and develop interpretation around the hedges.</w:t>
      </w:r>
    </w:p>
    <w:p w:rsidR="00940CCD" w:rsidRDefault="00940CCD" w:rsidP="00940CCD">
      <w:pPr>
        <w:pStyle w:val="ListParagraph"/>
        <w:ind w:left="426"/>
        <w:rPr>
          <w:b/>
        </w:rPr>
      </w:pPr>
    </w:p>
    <w:p w:rsidR="00940CCD" w:rsidRDefault="00940CCD" w:rsidP="00940CCD">
      <w:pPr>
        <w:pStyle w:val="ListParagraph"/>
        <w:ind w:left="426"/>
        <w:rPr>
          <w:b/>
        </w:rPr>
      </w:pPr>
      <w:r>
        <w:rPr>
          <w:b/>
        </w:rPr>
        <w:t xml:space="preserve">CCGHT </w:t>
      </w:r>
    </w:p>
    <w:p w:rsidR="008236AA" w:rsidRPr="008236AA" w:rsidRDefault="008236AA" w:rsidP="008236AA">
      <w:pPr>
        <w:spacing w:before="100" w:beforeAutospacing="1" w:after="100" w:afterAutospacing="1" w:line="240" w:lineRule="auto"/>
        <w:rPr>
          <w:rFonts w:eastAsia="Times New Roman" w:cs="Times New Roman"/>
          <w:lang w:eastAsia="en-GB"/>
        </w:rPr>
      </w:pPr>
      <w:r w:rsidRPr="008236AA">
        <w:rPr>
          <w:rFonts w:eastAsia="Times New Roman" w:cs="Times New Roman"/>
          <w:lang w:eastAsia="en-GB"/>
        </w:rPr>
        <w:t xml:space="preserve">The Causeway Coast and Glens Heritage Trust (CCGHT) was established in May 2002 as a public/private/voluntary sector partnership body.  </w:t>
      </w:r>
    </w:p>
    <w:p w:rsidR="008236AA" w:rsidRPr="008236AA" w:rsidRDefault="008236AA" w:rsidP="008236AA">
      <w:pPr>
        <w:spacing w:before="100" w:beforeAutospacing="1" w:after="100" w:afterAutospacing="1" w:line="240" w:lineRule="auto"/>
        <w:rPr>
          <w:rFonts w:eastAsia="Times New Roman" w:cs="Times New Roman"/>
          <w:lang w:eastAsia="en-GB"/>
        </w:rPr>
      </w:pPr>
      <w:r w:rsidRPr="008236AA">
        <w:rPr>
          <w:rFonts w:eastAsia="Times New Roman" w:cs="Times New Roman"/>
          <w:lang w:eastAsia="en-GB"/>
        </w:rPr>
        <w:t>CCGHT’s mission statement is:</w:t>
      </w:r>
    </w:p>
    <w:p w:rsidR="008236AA" w:rsidRPr="008236AA" w:rsidRDefault="008236AA" w:rsidP="008236AA">
      <w:pPr>
        <w:spacing w:before="100" w:beforeAutospacing="1" w:after="100" w:afterAutospacing="1" w:line="240" w:lineRule="auto"/>
        <w:rPr>
          <w:rFonts w:eastAsia="Times New Roman" w:cs="Times New Roman"/>
          <w:lang w:eastAsia="en-GB"/>
        </w:rPr>
      </w:pPr>
      <w:r w:rsidRPr="008236AA">
        <w:rPr>
          <w:rFonts w:eastAsia="Times New Roman" w:cs="Times New Roman"/>
          <w:lang w:eastAsia="en-GB"/>
        </w:rPr>
        <w:t>“</w:t>
      </w:r>
      <w:proofErr w:type="gramStart"/>
      <w:r w:rsidRPr="008236AA">
        <w:rPr>
          <w:rFonts w:eastAsia="Times New Roman" w:cs="Times New Roman"/>
          <w:lang w:eastAsia="en-GB"/>
        </w:rPr>
        <w:t>to</w:t>
      </w:r>
      <w:proofErr w:type="gramEnd"/>
      <w:r w:rsidRPr="008236AA">
        <w:rPr>
          <w:rFonts w:eastAsia="Times New Roman" w:cs="Times New Roman"/>
          <w:lang w:eastAsia="en-GB"/>
        </w:rPr>
        <w:t xml:space="preserve"> raise awareness of the special qualities of the natural, built and cultural heritage of the Causeway Coast &amp; Glens area including the Antrim Coast &amp; Glens, Causeway Coast and Binevenagh Areas of Outstanding Natural Beauty; promoting environmental management and sustainable development that aims to conserve and enhance the unique heritage of the area for the benefit of all.”</w:t>
      </w:r>
    </w:p>
    <w:p w:rsidR="008236AA" w:rsidRPr="008236AA" w:rsidRDefault="008236AA" w:rsidP="008236AA">
      <w:pPr>
        <w:spacing w:before="100" w:beforeAutospacing="1" w:after="100" w:afterAutospacing="1" w:line="240" w:lineRule="auto"/>
        <w:rPr>
          <w:rFonts w:eastAsia="Times New Roman" w:cs="Times New Roman"/>
          <w:lang w:eastAsia="en-GB"/>
        </w:rPr>
      </w:pPr>
      <w:r w:rsidRPr="008236AA">
        <w:rPr>
          <w:rFonts w:eastAsia="Times New Roman" w:cs="Times New Roman"/>
          <w:lang w:eastAsia="en-GB"/>
        </w:rPr>
        <w:t>CCGHT brings together a range of different organisations including landowners, local Councils and the farming, tourism, education, environment and community sectors.</w:t>
      </w:r>
    </w:p>
    <w:p w:rsidR="008236AA" w:rsidRPr="008236AA" w:rsidRDefault="00222861" w:rsidP="008236AA">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Our </w:t>
      </w:r>
      <w:r w:rsidR="008236AA" w:rsidRPr="008236AA">
        <w:rPr>
          <w:rFonts w:eastAsia="Times New Roman" w:cs="Times New Roman"/>
          <w:lang w:eastAsia="en-GB"/>
        </w:rPr>
        <w:t>objectives are:</w:t>
      </w:r>
    </w:p>
    <w:p w:rsidR="008236AA" w:rsidRPr="008236AA" w:rsidRDefault="008236AA" w:rsidP="008236AA">
      <w:pPr>
        <w:numPr>
          <w:ilvl w:val="0"/>
          <w:numId w:val="2"/>
        </w:numPr>
        <w:spacing w:before="100" w:beforeAutospacing="1" w:after="100" w:afterAutospacing="1" w:line="240" w:lineRule="auto"/>
        <w:rPr>
          <w:rFonts w:eastAsia="Times New Roman" w:cs="Times New Roman"/>
          <w:lang w:eastAsia="en-GB"/>
        </w:rPr>
      </w:pPr>
      <w:r w:rsidRPr="008236AA">
        <w:rPr>
          <w:rFonts w:eastAsia="Times New Roman" w:cs="Times New Roman"/>
          <w:lang w:eastAsia="en-GB"/>
        </w:rPr>
        <w:t>To develop sustainable and effective partnerships</w:t>
      </w:r>
    </w:p>
    <w:p w:rsidR="008236AA" w:rsidRPr="008236AA" w:rsidRDefault="008236AA" w:rsidP="008236AA">
      <w:pPr>
        <w:numPr>
          <w:ilvl w:val="0"/>
          <w:numId w:val="2"/>
        </w:numPr>
        <w:spacing w:before="100" w:beforeAutospacing="1" w:after="100" w:afterAutospacing="1" w:line="240" w:lineRule="auto"/>
        <w:rPr>
          <w:rFonts w:eastAsia="Times New Roman" w:cs="Times New Roman"/>
          <w:lang w:eastAsia="en-GB"/>
        </w:rPr>
      </w:pPr>
      <w:r w:rsidRPr="008236AA">
        <w:rPr>
          <w:rFonts w:eastAsia="Times New Roman" w:cs="Times New Roman"/>
          <w:lang w:eastAsia="en-GB"/>
        </w:rPr>
        <w:t>To raise awareness of the unique and special qualities/character, in both landscape and heritage terms (natural, built and cultural) of the 3 AONBs and their surrounding area</w:t>
      </w:r>
    </w:p>
    <w:p w:rsidR="008236AA" w:rsidRPr="008236AA" w:rsidRDefault="008236AA" w:rsidP="008236AA">
      <w:pPr>
        <w:numPr>
          <w:ilvl w:val="0"/>
          <w:numId w:val="2"/>
        </w:numPr>
        <w:spacing w:before="100" w:beforeAutospacing="1" w:after="100" w:afterAutospacing="1" w:line="240" w:lineRule="auto"/>
        <w:rPr>
          <w:rFonts w:eastAsia="Times New Roman" w:cs="Times New Roman"/>
          <w:lang w:eastAsia="en-GB"/>
        </w:rPr>
      </w:pPr>
      <w:r w:rsidRPr="008236AA">
        <w:rPr>
          <w:rFonts w:eastAsia="Times New Roman" w:cs="Times New Roman"/>
          <w:lang w:eastAsia="en-GB"/>
        </w:rPr>
        <w:t xml:space="preserve">To deliver an excellent protected area management provision </w:t>
      </w:r>
    </w:p>
    <w:p w:rsidR="008236AA" w:rsidRPr="008236AA" w:rsidRDefault="008236AA" w:rsidP="008236AA">
      <w:pPr>
        <w:numPr>
          <w:ilvl w:val="0"/>
          <w:numId w:val="2"/>
        </w:numPr>
        <w:spacing w:before="100" w:beforeAutospacing="1" w:after="100" w:afterAutospacing="1" w:line="240" w:lineRule="auto"/>
        <w:rPr>
          <w:rFonts w:eastAsia="Times New Roman" w:cs="Times New Roman"/>
          <w:lang w:eastAsia="en-GB"/>
        </w:rPr>
      </w:pPr>
      <w:r w:rsidRPr="008236AA">
        <w:rPr>
          <w:rFonts w:eastAsia="Times New Roman" w:cs="Times New Roman"/>
          <w:lang w:eastAsia="en-GB"/>
        </w:rPr>
        <w:t xml:space="preserve">To ensure best practice in sustainable development principles </w:t>
      </w:r>
    </w:p>
    <w:p w:rsidR="008236AA" w:rsidRPr="008236AA" w:rsidRDefault="008236AA" w:rsidP="008236AA">
      <w:pPr>
        <w:numPr>
          <w:ilvl w:val="0"/>
          <w:numId w:val="2"/>
        </w:numPr>
        <w:spacing w:before="100" w:beforeAutospacing="1" w:after="100" w:afterAutospacing="1" w:line="240" w:lineRule="auto"/>
        <w:rPr>
          <w:rFonts w:eastAsia="Times New Roman" w:cs="Times New Roman"/>
          <w:lang w:eastAsia="en-GB"/>
        </w:rPr>
      </w:pPr>
      <w:r w:rsidRPr="008236AA">
        <w:rPr>
          <w:rFonts w:eastAsia="Times New Roman" w:cs="Times New Roman"/>
          <w:lang w:eastAsia="en-GB"/>
        </w:rPr>
        <w:t xml:space="preserve">To deliver a sustainable, efficient and effective core activity/management </w:t>
      </w:r>
    </w:p>
    <w:p w:rsidR="00C40820" w:rsidRPr="00C40820" w:rsidRDefault="00C40820" w:rsidP="008236AA">
      <w:pPr>
        <w:jc w:val="both"/>
        <w:rPr>
          <w:rFonts w:ascii="Calibri" w:eastAsia="Calibri" w:hAnsi="Calibri" w:cs="Times New Roman"/>
        </w:rPr>
      </w:pPr>
    </w:p>
    <w:p w:rsidR="008236AA" w:rsidRPr="008236AA" w:rsidRDefault="00477089" w:rsidP="006D196E">
      <w:pPr>
        <w:pStyle w:val="ListParagraph"/>
        <w:numPr>
          <w:ilvl w:val="0"/>
          <w:numId w:val="1"/>
        </w:numPr>
        <w:ind w:left="426" w:hanging="426"/>
        <w:rPr>
          <w:b/>
        </w:rPr>
      </w:pPr>
      <w:r w:rsidRPr="008236AA">
        <w:rPr>
          <w:b/>
        </w:rPr>
        <w:t>PROJECT PROPOSAL</w:t>
      </w:r>
      <w:r w:rsidR="00771BBE">
        <w:rPr>
          <w:b/>
        </w:rPr>
        <w:t xml:space="preserve"> &amp; SUGGESTED METHODOLOGY</w:t>
      </w:r>
    </w:p>
    <w:p w:rsidR="004C3669" w:rsidRDefault="00B82785" w:rsidP="00B82785">
      <w:pPr>
        <w:spacing w:after="0" w:line="240" w:lineRule="auto"/>
        <w:rPr>
          <w:rFonts w:eastAsia="Times New Roman" w:cs="Times New Roman"/>
        </w:rPr>
      </w:pPr>
      <w:r w:rsidRPr="00B82785">
        <w:rPr>
          <w:rFonts w:eastAsia="Times New Roman" w:cs="Times New Roman"/>
        </w:rPr>
        <w:t xml:space="preserve">Design and artwork: </w:t>
      </w:r>
      <w:r w:rsidR="004C3669">
        <w:rPr>
          <w:rFonts w:eastAsia="Times New Roman" w:cs="Times New Roman"/>
        </w:rPr>
        <w:t xml:space="preserve">2 </w:t>
      </w:r>
      <w:r w:rsidR="00697FF4" w:rsidRPr="00697FF4">
        <w:rPr>
          <w:shd w:val="clear" w:color="auto" w:fill="FFFFFF"/>
        </w:rPr>
        <w:t>Multithematic totem information</w:t>
      </w:r>
      <w:r w:rsidR="00697FF4">
        <w:rPr>
          <w:rFonts w:eastAsia="Times New Roman" w:cs="Times New Roman"/>
        </w:rPr>
        <w:t xml:space="preserve"> </w:t>
      </w:r>
      <w:r w:rsidR="004C3669">
        <w:rPr>
          <w:rFonts w:eastAsia="Times New Roman" w:cs="Times New Roman"/>
        </w:rPr>
        <w:t xml:space="preserve">panels, one at the lay-by on the Bregagh Road and one at the Hedges Hotel car park. </w:t>
      </w:r>
      <w:r w:rsidR="00572720">
        <w:rPr>
          <w:rFonts w:eastAsia="Times New Roman" w:cs="Times New Roman"/>
        </w:rPr>
        <w:t>Size is negotiable but for the tender process the a</w:t>
      </w:r>
      <w:r w:rsidR="00697FF4">
        <w:rPr>
          <w:rFonts w:eastAsia="Times New Roman" w:cs="Times New Roman"/>
        </w:rPr>
        <w:t xml:space="preserve">pproximate height </w:t>
      </w:r>
      <w:r w:rsidR="00572720">
        <w:rPr>
          <w:rFonts w:eastAsia="Times New Roman" w:cs="Times New Roman"/>
        </w:rPr>
        <w:t>is 2 metres and the width 0.8 metres.</w:t>
      </w:r>
    </w:p>
    <w:p w:rsidR="0093629B" w:rsidRDefault="0093629B" w:rsidP="00B82785">
      <w:pPr>
        <w:spacing w:after="0" w:line="240" w:lineRule="auto"/>
        <w:rPr>
          <w:rFonts w:eastAsia="Times New Roman" w:cs="Times New Roman"/>
        </w:rPr>
      </w:pPr>
    </w:p>
    <w:p w:rsidR="00572720" w:rsidRDefault="0093629B" w:rsidP="00B82785">
      <w:pPr>
        <w:spacing w:after="0" w:line="240" w:lineRule="auto"/>
        <w:rPr>
          <w:rFonts w:eastAsia="Times New Roman" w:cs="Times New Roman"/>
        </w:rPr>
      </w:pPr>
      <w:r w:rsidRPr="00B82785">
        <w:rPr>
          <w:rFonts w:eastAsia="Times New Roman" w:cs="Times New Roman"/>
        </w:rPr>
        <w:t>The successful candidate will be expected to</w:t>
      </w:r>
      <w:r>
        <w:rPr>
          <w:rFonts w:eastAsia="Times New Roman" w:cs="Times New Roman"/>
        </w:rPr>
        <w:t xml:space="preserve"> follow the NITB guidelines:</w:t>
      </w:r>
    </w:p>
    <w:p w:rsidR="0093629B" w:rsidRDefault="0093629B" w:rsidP="0093629B">
      <w:pPr>
        <w:pStyle w:val="ListParagraph"/>
        <w:numPr>
          <w:ilvl w:val="0"/>
          <w:numId w:val="8"/>
        </w:numPr>
        <w:spacing w:after="0" w:line="240" w:lineRule="auto"/>
        <w:rPr>
          <w:rFonts w:eastAsia="Times New Roman" w:cs="Times New Roman"/>
        </w:rPr>
      </w:pPr>
      <w:r>
        <w:rPr>
          <w:rFonts w:eastAsia="Times New Roman" w:cs="Times New Roman"/>
        </w:rPr>
        <w:t>Brand in your Hand</w:t>
      </w:r>
    </w:p>
    <w:p w:rsidR="0093629B" w:rsidRDefault="0093629B" w:rsidP="0093629B">
      <w:pPr>
        <w:pStyle w:val="ListParagraph"/>
        <w:numPr>
          <w:ilvl w:val="0"/>
          <w:numId w:val="8"/>
        </w:numPr>
        <w:spacing w:after="0" w:line="240" w:lineRule="auto"/>
        <w:rPr>
          <w:rFonts w:eastAsia="Times New Roman" w:cs="Times New Roman"/>
        </w:rPr>
      </w:pPr>
      <w:r>
        <w:rPr>
          <w:rFonts w:eastAsia="Times New Roman" w:cs="Times New Roman"/>
        </w:rPr>
        <w:t>Interpretation Guide</w:t>
      </w:r>
    </w:p>
    <w:p w:rsidR="0093629B" w:rsidRDefault="0093629B" w:rsidP="0093629B">
      <w:pPr>
        <w:pStyle w:val="ListParagraph"/>
        <w:spacing w:after="0" w:line="240" w:lineRule="auto"/>
        <w:rPr>
          <w:rFonts w:eastAsia="Times New Roman" w:cs="Times New Roman"/>
        </w:rPr>
      </w:pPr>
    </w:p>
    <w:p w:rsidR="0093629B" w:rsidRDefault="0093629B" w:rsidP="0093629B">
      <w:pPr>
        <w:spacing w:after="0" w:line="240" w:lineRule="auto"/>
        <w:rPr>
          <w:rFonts w:eastAsia="Times New Roman" w:cs="Times New Roman"/>
        </w:rPr>
      </w:pPr>
      <w:r>
        <w:rPr>
          <w:rFonts w:eastAsia="Times New Roman" w:cs="Times New Roman"/>
        </w:rPr>
        <w:t xml:space="preserve">These are available on the NITB website: </w:t>
      </w:r>
      <w:hyperlink r:id="rId9" w:history="1">
        <w:r w:rsidRPr="00CE1FD1">
          <w:rPr>
            <w:rStyle w:val="Hyperlink"/>
            <w:rFonts w:eastAsia="Times New Roman" w:cs="Times New Roman"/>
          </w:rPr>
          <w:t>http://www.nitb.com/BusinessSupport/GrowYourBusiness/BrandGuidelines.aspx</w:t>
        </w:r>
      </w:hyperlink>
    </w:p>
    <w:p w:rsidR="0093629B" w:rsidRPr="0093629B" w:rsidRDefault="0093629B" w:rsidP="0093629B">
      <w:pPr>
        <w:spacing w:after="0" w:line="240" w:lineRule="auto"/>
        <w:rPr>
          <w:rFonts w:eastAsia="Times New Roman" w:cs="Times New Roman"/>
        </w:rPr>
      </w:pPr>
    </w:p>
    <w:p w:rsidR="00B82785" w:rsidRDefault="00B82785" w:rsidP="00B82785">
      <w:pPr>
        <w:spacing w:after="0" w:line="240" w:lineRule="auto"/>
        <w:rPr>
          <w:rFonts w:eastAsia="Times New Roman" w:cs="Times New Roman"/>
        </w:rPr>
      </w:pPr>
      <w:r w:rsidRPr="00B82785">
        <w:rPr>
          <w:rFonts w:eastAsia="Times New Roman" w:cs="Times New Roman"/>
        </w:rPr>
        <w:t xml:space="preserve">The successful candidate will be expected to supply an initial design concept for </w:t>
      </w:r>
      <w:proofErr w:type="gramStart"/>
      <w:r w:rsidRPr="00B82785">
        <w:rPr>
          <w:rFonts w:eastAsia="Times New Roman" w:cs="Times New Roman"/>
        </w:rPr>
        <w:t>approval,</w:t>
      </w:r>
      <w:proofErr w:type="gramEnd"/>
      <w:r w:rsidRPr="00B82785">
        <w:rPr>
          <w:rFonts w:eastAsia="Times New Roman" w:cs="Times New Roman"/>
        </w:rPr>
        <w:t xml:space="preserve"> there will then be a process of design adjustments until a design approach is agreed. The panel</w:t>
      </w:r>
      <w:r w:rsidR="004C3669">
        <w:rPr>
          <w:rFonts w:eastAsia="Times New Roman" w:cs="Times New Roman"/>
        </w:rPr>
        <w:t>s</w:t>
      </w:r>
      <w:r w:rsidRPr="00B82785">
        <w:rPr>
          <w:rFonts w:eastAsia="Times New Roman" w:cs="Times New Roman"/>
        </w:rPr>
        <w:t xml:space="preserve"> </w:t>
      </w:r>
      <w:r>
        <w:rPr>
          <w:rFonts w:eastAsia="Times New Roman" w:cs="Times New Roman"/>
        </w:rPr>
        <w:t>may</w:t>
      </w:r>
      <w:r w:rsidRPr="00B82785">
        <w:rPr>
          <w:rFonts w:eastAsia="Times New Roman" w:cs="Times New Roman"/>
        </w:rPr>
        <w:t xml:space="preserve"> require the design of an illustrated map of the area and the production of finished artwork incorporating the map, text supplied by the </w:t>
      </w:r>
      <w:r>
        <w:rPr>
          <w:rFonts w:eastAsia="Times New Roman" w:cs="Times New Roman"/>
        </w:rPr>
        <w:t>Causeway Coast &amp; Glens Heritage Trust</w:t>
      </w:r>
      <w:r w:rsidRPr="00B82785">
        <w:rPr>
          <w:rFonts w:eastAsia="Times New Roman" w:cs="Times New Roman"/>
        </w:rPr>
        <w:t xml:space="preserve"> along with the stock photography.</w:t>
      </w:r>
    </w:p>
    <w:p w:rsidR="007A6BD0" w:rsidRDefault="007A6BD0" w:rsidP="00B82785">
      <w:pPr>
        <w:spacing w:after="0" w:line="240" w:lineRule="auto"/>
        <w:rPr>
          <w:rFonts w:eastAsia="Times New Roman" w:cs="Times New Roman"/>
        </w:rPr>
      </w:pPr>
    </w:p>
    <w:p w:rsidR="00B82785" w:rsidRPr="00B82785" w:rsidRDefault="00A14F22" w:rsidP="00B82785">
      <w:pPr>
        <w:spacing w:after="0" w:line="240" w:lineRule="auto"/>
        <w:rPr>
          <w:rFonts w:eastAsia="Times New Roman" w:cs="Times New Roman"/>
        </w:rPr>
      </w:pPr>
      <w:r>
        <w:rPr>
          <w:rFonts w:eastAsia="Times New Roman" w:cs="Times New Roman"/>
        </w:rPr>
        <w:lastRenderedPageBreak/>
        <w:t xml:space="preserve">This atmospheric site is renowned for its character and visual impact. </w:t>
      </w:r>
      <w:r w:rsidR="00B82785">
        <w:rPr>
          <w:rFonts w:eastAsia="Times New Roman" w:cs="Times New Roman"/>
        </w:rPr>
        <w:t>The panel</w:t>
      </w:r>
      <w:r w:rsidR="004C3669">
        <w:rPr>
          <w:rFonts w:eastAsia="Times New Roman" w:cs="Times New Roman"/>
        </w:rPr>
        <w:t>s</w:t>
      </w:r>
      <w:r w:rsidR="00B82785">
        <w:rPr>
          <w:rFonts w:eastAsia="Times New Roman" w:cs="Times New Roman"/>
        </w:rPr>
        <w:t xml:space="preserve"> should be designed and manufactured in style, material and colours that complement the site</w:t>
      </w:r>
      <w:r>
        <w:rPr>
          <w:rFonts w:eastAsia="Times New Roman" w:cs="Times New Roman"/>
        </w:rPr>
        <w:t>.</w:t>
      </w:r>
      <w:r w:rsidR="007A6BD0">
        <w:rPr>
          <w:rFonts w:eastAsia="Times New Roman" w:cs="Times New Roman"/>
        </w:rPr>
        <w:t xml:space="preserve">  </w:t>
      </w:r>
    </w:p>
    <w:p w:rsidR="00B82785" w:rsidRPr="00B82785" w:rsidRDefault="00B82785" w:rsidP="00B82785">
      <w:pPr>
        <w:spacing w:after="0" w:line="240" w:lineRule="auto"/>
        <w:rPr>
          <w:rFonts w:eastAsia="Times New Roman" w:cs="Times New Roman"/>
        </w:rPr>
      </w:pPr>
    </w:p>
    <w:p w:rsidR="00B82785" w:rsidRPr="00B82785" w:rsidRDefault="00B82785" w:rsidP="00B82785">
      <w:pPr>
        <w:spacing w:after="0" w:line="240" w:lineRule="auto"/>
        <w:rPr>
          <w:rFonts w:eastAsia="Times New Roman" w:cs="Times New Roman"/>
        </w:rPr>
      </w:pPr>
      <w:r w:rsidRPr="00B82785">
        <w:rPr>
          <w:rFonts w:eastAsia="Times New Roman" w:cs="Times New Roman"/>
        </w:rPr>
        <w:t>Print: Printed directly onto and encapsulated into Glass Reinforced Plastic to prevent water ingress and allow for cleaning of graffiti.</w:t>
      </w:r>
    </w:p>
    <w:p w:rsidR="00B82785" w:rsidRPr="00B82785" w:rsidRDefault="00B82785" w:rsidP="00B82785">
      <w:pPr>
        <w:spacing w:after="0" w:line="240" w:lineRule="auto"/>
        <w:rPr>
          <w:rFonts w:eastAsia="Times New Roman" w:cs="Times New Roman"/>
        </w:rPr>
      </w:pPr>
    </w:p>
    <w:p w:rsidR="00B82785" w:rsidRPr="00B82785" w:rsidRDefault="00B82785" w:rsidP="00B82785">
      <w:pPr>
        <w:spacing w:after="0" w:line="240" w:lineRule="auto"/>
        <w:rPr>
          <w:rFonts w:eastAsia="Times New Roman" w:cs="Times New Roman"/>
        </w:rPr>
      </w:pPr>
      <w:r w:rsidRPr="00B82785">
        <w:rPr>
          <w:rFonts w:eastAsia="Times New Roman" w:cs="Times New Roman"/>
        </w:rPr>
        <w:t>Warranty: 5 year warranty against fading</w:t>
      </w:r>
    </w:p>
    <w:p w:rsidR="00B82785" w:rsidRPr="00B82785" w:rsidRDefault="00B82785" w:rsidP="00B82785">
      <w:pPr>
        <w:spacing w:after="0" w:line="240" w:lineRule="auto"/>
        <w:rPr>
          <w:rFonts w:eastAsia="Times New Roman" w:cs="Times New Roman"/>
        </w:rPr>
      </w:pPr>
    </w:p>
    <w:p w:rsidR="00B82785" w:rsidRPr="00B82785" w:rsidRDefault="00B82785" w:rsidP="00B82785">
      <w:pPr>
        <w:spacing w:after="0" w:line="240" w:lineRule="auto"/>
        <w:rPr>
          <w:rFonts w:eastAsia="Times New Roman" w:cs="Times New Roman"/>
        </w:rPr>
      </w:pPr>
      <w:r w:rsidRPr="00B82785">
        <w:rPr>
          <w:rFonts w:eastAsia="Times New Roman" w:cs="Times New Roman"/>
        </w:rPr>
        <w:t>Proof: A colour proof, on paper, should be submitted for approval prior to the final print.</w:t>
      </w:r>
    </w:p>
    <w:p w:rsidR="00B82785" w:rsidRPr="00B82785" w:rsidRDefault="00B82785" w:rsidP="00B82785">
      <w:pPr>
        <w:spacing w:after="0" w:line="240" w:lineRule="auto"/>
        <w:rPr>
          <w:rFonts w:eastAsia="Times New Roman" w:cs="Times New Roman"/>
        </w:rPr>
      </w:pPr>
    </w:p>
    <w:p w:rsidR="00B82785" w:rsidRPr="00B82785" w:rsidRDefault="00B82785" w:rsidP="00B82785">
      <w:pPr>
        <w:spacing w:after="0" w:line="240" w:lineRule="auto"/>
        <w:ind w:left="360"/>
        <w:rPr>
          <w:rFonts w:eastAsia="Times New Roman" w:cs="Times New Roman"/>
        </w:rPr>
      </w:pPr>
      <w:r w:rsidRPr="00B82785">
        <w:rPr>
          <w:rFonts w:eastAsia="Times New Roman" w:cs="Times New Roman"/>
        </w:rPr>
        <w:t xml:space="preserve">Manufacture: Panel design and manufacture should be of the highest quality and viability; including supports which offer good stability and the completed unit should be made to withstand the elements, and remain attractive and durable for future generations. The panel should be supplied complete </w:t>
      </w:r>
      <w:r w:rsidRPr="004C3669">
        <w:rPr>
          <w:rFonts w:eastAsia="Times New Roman" w:cs="Times New Roman"/>
        </w:rPr>
        <w:t>with</w:t>
      </w:r>
      <w:r w:rsidRPr="00B82785">
        <w:rPr>
          <w:rFonts w:eastAsia="Times New Roman" w:cs="Times New Roman"/>
          <w:color w:val="FF0000"/>
        </w:rPr>
        <w:t xml:space="preserve"> </w:t>
      </w:r>
      <w:r>
        <w:rPr>
          <w:rFonts w:eastAsia="Times New Roman" w:cs="Times New Roman"/>
        </w:rPr>
        <w:t>supports</w:t>
      </w:r>
      <w:r w:rsidRPr="00B82785">
        <w:rPr>
          <w:rFonts w:eastAsia="Times New Roman" w:cs="Times New Roman"/>
        </w:rPr>
        <w:t xml:space="preserve"> t</w:t>
      </w:r>
      <w:r>
        <w:rPr>
          <w:rFonts w:eastAsia="Times New Roman" w:cs="Times New Roman"/>
        </w:rPr>
        <w:t>hat are long enough to install</w:t>
      </w:r>
      <w:r w:rsidRPr="00B82785">
        <w:rPr>
          <w:rFonts w:eastAsia="Times New Roman" w:cs="Times New Roman"/>
        </w:rPr>
        <w:t xml:space="preserve"> </w:t>
      </w:r>
      <w:r>
        <w:rPr>
          <w:rFonts w:eastAsia="Times New Roman" w:cs="Times New Roman"/>
        </w:rPr>
        <w:t>at the site</w:t>
      </w:r>
      <w:r w:rsidRPr="00B82785">
        <w:rPr>
          <w:rFonts w:eastAsia="Times New Roman" w:cs="Times New Roman"/>
        </w:rPr>
        <w:t>.</w:t>
      </w:r>
    </w:p>
    <w:p w:rsidR="00B82785" w:rsidRPr="00B82785" w:rsidRDefault="00B82785" w:rsidP="00B82785">
      <w:pPr>
        <w:spacing w:after="0" w:line="240" w:lineRule="auto"/>
        <w:ind w:left="360"/>
        <w:rPr>
          <w:rFonts w:eastAsia="Times New Roman" w:cs="Times New Roman"/>
        </w:rPr>
      </w:pPr>
    </w:p>
    <w:p w:rsidR="00B82785" w:rsidRPr="00B82785" w:rsidRDefault="00B82785" w:rsidP="00B82785">
      <w:pPr>
        <w:spacing w:after="0" w:line="240" w:lineRule="auto"/>
        <w:ind w:left="360"/>
        <w:rPr>
          <w:rFonts w:eastAsia="Times New Roman" w:cs="Times New Roman"/>
        </w:rPr>
      </w:pPr>
      <w:r w:rsidRPr="00B82785">
        <w:rPr>
          <w:rFonts w:eastAsia="Times New Roman" w:cs="Times New Roman"/>
        </w:rPr>
        <w:t xml:space="preserve">Delivery and installation: The successful candidate will be expected to deliver and install the panel in </w:t>
      </w:r>
      <w:r>
        <w:rPr>
          <w:rFonts w:eastAsia="Times New Roman" w:cs="Times New Roman"/>
        </w:rPr>
        <w:t>the lay</w:t>
      </w:r>
      <w:r w:rsidR="004C3669">
        <w:rPr>
          <w:rFonts w:eastAsia="Times New Roman" w:cs="Times New Roman"/>
        </w:rPr>
        <w:t>-</w:t>
      </w:r>
      <w:r>
        <w:rPr>
          <w:rFonts w:eastAsia="Times New Roman" w:cs="Times New Roman"/>
        </w:rPr>
        <w:t>by on the Bregagh Road</w:t>
      </w:r>
      <w:r w:rsidR="004C3669">
        <w:rPr>
          <w:rFonts w:eastAsia="Times New Roman" w:cs="Times New Roman"/>
        </w:rPr>
        <w:t xml:space="preserve"> and at the hedges Hotel car park </w:t>
      </w:r>
      <w:r w:rsidRPr="00B82785">
        <w:rPr>
          <w:rFonts w:eastAsia="Times New Roman" w:cs="Times New Roman"/>
        </w:rPr>
        <w:t xml:space="preserve">at a time and date agreed with the </w:t>
      </w:r>
      <w:r>
        <w:rPr>
          <w:rFonts w:eastAsia="Times New Roman" w:cs="Times New Roman"/>
        </w:rPr>
        <w:t>Causeway Coast &amp; Glens Heritage Trust</w:t>
      </w:r>
      <w:r w:rsidRPr="00B82785">
        <w:rPr>
          <w:rFonts w:eastAsia="Times New Roman" w:cs="Times New Roman"/>
        </w:rPr>
        <w:t xml:space="preserve">. </w:t>
      </w:r>
      <w:r>
        <w:rPr>
          <w:rFonts w:eastAsia="Times New Roman" w:cs="Times New Roman"/>
        </w:rPr>
        <w:t xml:space="preserve"> The Causeway Coast &amp; Glens Heritage Trust will liaise with Roads Service </w:t>
      </w:r>
      <w:r w:rsidR="004C3669">
        <w:rPr>
          <w:rFonts w:eastAsia="Times New Roman" w:cs="Times New Roman"/>
        </w:rPr>
        <w:t xml:space="preserve">and the Hedges Hotel </w:t>
      </w:r>
      <w:r>
        <w:rPr>
          <w:rFonts w:eastAsia="Times New Roman" w:cs="Times New Roman"/>
        </w:rPr>
        <w:t>to obtain permission to install the panel.</w:t>
      </w:r>
    </w:p>
    <w:p w:rsidR="00B82785" w:rsidRPr="00B82785" w:rsidRDefault="00B82785" w:rsidP="00B82785">
      <w:pPr>
        <w:pStyle w:val="ListParagraph"/>
        <w:rPr>
          <w:color w:val="000000" w:themeColor="text1"/>
        </w:rPr>
      </w:pPr>
    </w:p>
    <w:p w:rsidR="006D196E" w:rsidRPr="0009553F" w:rsidRDefault="00973556" w:rsidP="005A4C3D">
      <w:pPr>
        <w:ind w:left="426"/>
        <w:rPr>
          <w:b/>
        </w:rPr>
      </w:pPr>
      <w:r w:rsidRPr="0009553F">
        <w:rPr>
          <w:b/>
        </w:rPr>
        <w:t xml:space="preserve">3.3 </w:t>
      </w:r>
      <w:r w:rsidR="006D196E" w:rsidRPr="0009553F">
        <w:rPr>
          <w:b/>
        </w:rPr>
        <w:t>Key Partnerships</w:t>
      </w:r>
      <w:r w:rsidR="008236AA" w:rsidRPr="0009553F">
        <w:rPr>
          <w:b/>
        </w:rPr>
        <w:t xml:space="preserve"> </w:t>
      </w:r>
      <w:r w:rsidR="008236AA" w:rsidRPr="0009553F">
        <w:rPr>
          <w:i/>
        </w:rPr>
        <w:t xml:space="preserve">(if </w:t>
      </w:r>
      <w:proofErr w:type="spellStart"/>
      <w:r w:rsidR="008236AA" w:rsidRPr="0009553F">
        <w:rPr>
          <w:i/>
        </w:rPr>
        <w:t>req’d</w:t>
      </w:r>
      <w:proofErr w:type="spellEnd"/>
      <w:r w:rsidR="008236AA" w:rsidRPr="0009553F">
        <w:rPr>
          <w:i/>
        </w:rPr>
        <w:t>)</w:t>
      </w:r>
    </w:p>
    <w:p w:rsidR="006D196E" w:rsidRPr="0009553F" w:rsidRDefault="009D0BE7" w:rsidP="005A4C3D">
      <w:pPr>
        <w:pStyle w:val="ListParagraph"/>
        <w:ind w:left="426"/>
      </w:pPr>
      <w:r w:rsidRPr="0009553F">
        <w:t xml:space="preserve">The designer will demonstrate how he/she will </w:t>
      </w:r>
      <w:r w:rsidR="008A0BBD" w:rsidRPr="0009553F">
        <w:t xml:space="preserve">work </w:t>
      </w:r>
      <w:r w:rsidR="008A0BBD">
        <w:t>professionally</w:t>
      </w:r>
      <w:r w:rsidR="004C3669">
        <w:t xml:space="preserve"> and</w:t>
      </w:r>
      <w:r w:rsidR="008A0BBD">
        <w:t xml:space="preserve"> efficiently in partnership </w:t>
      </w:r>
      <w:r w:rsidRPr="0009553F">
        <w:t xml:space="preserve">with the key </w:t>
      </w:r>
      <w:r w:rsidR="008A0BBD">
        <w:t>organisations</w:t>
      </w:r>
      <w:r w:rsidRPr="0009553F">
        <w:t xml:space="preserve"> – </w:t>
      </w:r>
      <w:proofErr w:type="gramStart"/>
      <w:r w:rsidRPr="0009553F">
        <w:t xml:space="preserve">CCGHT </w:t>
      </w:r>
      <w:r w:rsidR="004C3669">
        <w:t>,</w:t>
      </w:r>
      <w:proofErr w:type="gramEnd"/>
      <w:r w:rsidR="004C3669">
        <w:t xml:space="preserve"> T</w:t>
      </w:r>
      <w:r w:rsidRPr="0009553F">
        <w:t xml:space="preserve">he Dark Hedges Preservation </w:t>
      </w:r>
      <w:r w:rsidR="004C3669">
        <w:t xml:space="preserve">Trust, </w:t>
      </w:r>
      <w:r w:rsidR="00697FF4">
        <w:t>Roads Service</w:t>
      </w:r>
      <w:r w:rsidR="004C3669">
        <w:t xml:space="preserve"> and Ballymoney Borough Council </w:t>
      </w:r>
      <w:r w:rsidR="008709C8">
        <w:t xml:space="preserve">to design suitable </w:t>
      </w:r>
      <w:r w:rsidR="007C5746">
        <w:t>interpretation panel</w:t>
      </w:r>
      <w:r w:rsidR="004C3669">
        <w:t>s</w:t>
      </w:r>
      <w:r w:rsidR="008709C8">
        <w:t>.</w:t>
      </w:r>
    </w:p>
    <w:p w:rsidR="008236AA" w:rsidRPr="0009553F" w:rsidRDefault="008236AA" w:rsidP="005A4C3D">
      <w:pPr>
        <w:pStyle w:val="ListParagraph"/>
        <w:ind w:left="426"/>
        <w:rPr>
          <w:b/>
        </w:rPr>
      </w:pPr>
    </w:p>
    <w:p w:rsidR="005C1254" w:rsidRPr="0009553F" w:rsidRDefault="005C1254" w:rsidP="005A4C3D">
      <w:pPr>
        <w:pStyle w:val="ListParagraph"/>
        <w:ind w:left="426"/>
      </w:pPr>
    </w:p>
    <w:p w:rsidR="005C1254" w:rsidRPr="0009553F" w:rsidRDefault="005C1254" w:rsidP="005A4C3D">
      <w:pPr>
        <w:pStyle w:val="ListParagraph"/>
        <w:ind w:left="426"/>
      </w:pPr>
      <w:r w:rsidRPr="0009553F">
        <w:rPr>
          <w:b/>
        </w:rPr>
        <w:t>3.</w:t>
      </w:r>
      <w:r w:rsidR="005A4C3D">
        <w:rPr>
          <w:b/>
        </w:rPr>
        <w:t>4</w:t>
      </w:r>
      <w:r w:rsidRPr="0009553F">
        <w:rPr>
          <w:b/>
        </w:rPr>
        <w:t xml:space="preserve"> Copyright, Data Protection and </w:t>
      </w:r>
      <w:r w:rsidR="003F348E" w:rsidRPr="0009553F">
        <w:rPr>
          <w:b/>
        </w:rPr>
        <w:t xml:space="preserve">Confidentiality </w:t>
      </w:r>
      <w:r w:rsidR="003F348E" w:rsidRPr="00E4422B">
        <w:t>(</w:t>
      </w:r>
      <w:r w:rsidRPr="0009553F">
        <w:t>if Required)</w:t>
      </w:r>
    </w:p>
    <w:p w:rsidR="005C1254" w:rsidRPr="0009553F" w:rsidRDefault="009D0BE7" w:rsidP="005A4C3D">
      <w:pPr>
        <w:pStyle w:val="ListParagraph"/>
        <w:ind w:left="426"/>
      </w:pPr>
      <w:r w:rsidRPr="0009553F">
        <w:t>The designer will ensure that images and graphics used are unique to the design and will not breach any copyright legislation.</w:t>
      </w:r>
      <w:r w:rsidR="0009553F" w:rsidRPr="0009553F">
        <w:t xml:space="preserve"> The final </w:t>
      </w:r>
      <w:r w:rsidR="007C5746">
        <w:t>panel design and equipment</w:t>
      </w:r>
      <w:r w:rsidR="0009553F" w:rsidRPr="0009553F">
        <w:t xml:space="preserve"> will belong to </w:t>
      </w:r>
      <w:r w:rsidR="0009553F">
        <w:t xml:space="preserve">CCGHT and </w:t>
      </w:r>
      <w:r w:rsidR="0009553F" w:rsidRPr="0009553F">
        <w:t>the Dark Hedges Preservation Trust.</w:t>
      </w:r>
    </w:p>
    <w:p w:rsidR="005C1254" w:rsidRDefault="005C1254" w:rsidP="006D196E">
      <w:pPr>
        <w:pStyle w:val="ListParagraph"/>
      </w:pPr>
    </w:p>
    <w:p w:rsidR="005C1254" w:rsidRPr="005C1254" w:rsidRDefault="005C1254" w:rsidP="006D196E">
      <w:pPr>
        <w:pStyle w:val="ListParagraph"/>
      </w:pPr>
    </w:p>
    <w:p w:rsidR="006D196E" w:rsidRPr="008236AA" w:rsidRDefault="00477089" w:rsidP="008236AA">
      <w:pPr>
        <w:pStyle w:val="ListParagraph"/>
        <w:numPr>
          <w:ilvl w:val="0"/>
          <w:numId w:val="1"/>
        </w:numPr>
        <w:ind w:left="426" w:hanging="426"/>
        <w:rPr>
          <w:b/>
        </w:rPr>
      </w:pPr>
      <w:r w:rsidRPr="008236AA">
        <w:rPr>
          <w:b/>
        </w:rPr>
        <w:t>PROCESS PLAN</w:t>
      </w:r>
      <w:r w:rsidR="00771BBE">
        <w:rPr>
          <w:b/>
        </w:rPr>
        <w:t xml:space="preserve"> </w:t>
      </w:r>
    </w:p>
    <w:p w:rsidR="006D196E" w:rsidRPr="006D196E" w:rsidRDefault="006D196E" w:rsidP="006D196E">
      <w:pPr>
        <w:pStyle w:val="ListParagraph"/>
        <w:rPr>
          <w:b/>
        </w:rPr>
      </w:pPr>
    </w:p>
    <w:tbl>
      <w:tblPr>
        <w:tblStyle w:val="TableGrid"/>
        <w:tblW w:w="0" w:type="auto"/>
        <w:tblInd w:w="786" w:type="dxa"/>
        <w:tblLook w:val="04A0"/>
      </w:tblPr>
      <w:tblGrid>
        <w:gridCol w:w="1609"/>
        <w:gridCol w:w="2004"/>
        <w:gridCol w:w="4843"/>
      </w:tblGrid>
      <w:tr w:rsidR="001B66EE" w:rsidTr="001B66EE">
        <w:tc>
          <w:tcPr>
            <w:tcW w:w="1609" w:type="dxa"/>
          </w:tcPr>
          <w:p w:rsidR="001B66EE" w:rsidRDefault="001B66EE" w:rsidP="006D196E">
            <w:pPr>
              <w:pStyle w:val="ListParagraph"/>
              <w:ind w:left="0"/>
              <w:rPr>
                <w:b/>
              </w:rPr>
            </w:pPr>
            <w:r>
              <w:rPr>
                <w:b/>
              </w:rPr>
              <w:t>Date</w:t>
            </w:r>
          </w:p>
        </w:tc>
        <w:tc>
          <w:tcPr>
            <w:tcW w:w="2004" w:type="dxa"/>
          </w:tcPr>
          <w:p w:rsidR="001B66EE" w:rsidRDefault="001B66EE" w:rsidP="001B66EE">
            <w:pPr>
              <w:pStyle w:val="ListParagraph"/>
              <w:ind w:left="0"/>
              <w:rPr>
                <w:b/>
              </w:rPr>
            </w:pPr>
            <w:r>
              <w:rPr>
                <w:b/>
              </w:rPr>
              <w:t xml:space="preserve">Phase </w:t>
            </w:r>
          </w:p>
        </w:tc>
        <w:tc>
          <w:tcPr>
            <w:tcW w:w="4843" w:type="dxa"/>
          </w:tcPr>
          <w:p w:rsidR="001B66EE" w:rsidRDefault="001B66EE" w:rsidP="006D196E">
            <w:pPr>
              <w:pStyle w:val="ListParagraph"/>
              <w:ind w:left="0"/>
              <w:rPr>
                <w:b/>
              </w:rPr>
            </w:pPr>
            <w:r>
              <w:rPr>
                <w:b/>
              </w:rPr>
              <w:t>Activities required for project</w:t>
            </w:r>
          </w:p>
        </w:tc>
      </w:tr>
      <w:tr w:rsidR="001B66EE" w:rsidTr="001B66EE">
        <w:tc>
          <w:tcPr>
            <w:tcW w:w="1609" w:type="dxa"/>
          </w:tcPr>
          <w:p w:rsidR="001B66EE" w:rsidRPr="00242773" w:rsidRDefault="00572720" w:rsidP="006A58C5">
            <w:r w:rsidRPr="00242773">
              <w:t>05/11</w:t>
            </w:r>
            <w:r w:rsidR="006A58C5" w:rsidRPr="00242773">
              <w:t>/2014</w:t>
            </w:r>
          </w:p>
        </w:tc>
        <w:tc>
          <w:tcPr>
            <w:tcW w:w="2004" w:type="dxa"/>
          </w:tcPr>
          <w:p w:rsidR="001B66EE" w:rsidRPr="006D196E" w:rsidRDefault="001B66EE" w:rsidP="004A1403">
            <w:pPr>
              <w:pStyle w:val="ListParagraph"/>
              <w:ind w:left="0"/>
            </w:pPr>
            <w:r>
              <w:t>Project Start</w:t>
            </w:r>
          </w:p>
        </w:tc>
        <w:tc>
          <w:tcPr>
            <w:tcW w:w="4843" w:type="dxa"/>
          </w:tcPr>
          <w:p w:rsidR="001B66EE" w:rsidRPr="006D196E" w:rsidRDefault="001B66EE" w:rsidP="006D196E">
            <w:pPr>
              <w:pStyle w:val="ListParagraph"/>
              <w:ind w:left="0"/>
            </w:pPr>
            <w:r w:rsidRPr="006D196E">
              <w:t xml:space="preserve">Project </w:t>
            </w:r>
            <w:r>
              <w:t>Initiation Meeting</w:t>
            </w:r>
            <w:r w:rsidR="006255A7">
              <w:t>, if required</w:t>
            </w:r>
          </w:p>
        </w:tc>
      </w:tr>
      <w:tr w:rsidR="001B66EE" w:rsidTr="001B66EE">
        <w:tc>
          <w:tcPr>
            <w:tcW w:w="1609" w:type="dxa"/>
          </w:tcPr>
          <w:p w:rsidR="001B66EE" w:rsidRPr="00242773" w:rsidRDefault="00572720" w:rsidP="00572720">
            <w:r w:rsidRPr="00242773">
              <w:t>27</w:t>
            </w:r>
            <w:r w:rsidR="006A58C5" w:rsidRPr="00242773">
              <w:t>/</w:t>
            </w:r>
            <w:r w:rsidRPr="00242773">
              <w:t>11</w:t>
            </w:r>
            <w:r w:rsidR="006A58C5" w:rsidRPr="00242773">
              <w:t>/2014</w:t>
            </w:r>
          </w:p>
        </w:tc>
        <w:tc>
          <w:tcPr>
            <w:tcW w:w="2004" w:type="dxa"/>
          </w:tcPr>
          <w:p w:rsidR="001B66EE" w:rsidRPr="006D196E" w:rsidRDefault="001B66EE" w:rsidP="008236AA">
            <w:pPr>
              <w:pStyle w:val="ListParagraph"/>
              <w:ind w:left="0"/>
            </w:pPr>
            <w:r>
              <w:t>Mid-Term review</w:t>
            </w:r>
          </w:p>
        </w:tc>
        <w:tc>
          <w:tcPr>
            <w:tcW w:w="4843" w:type="dxa"/>
          </w:tcPr>
          <w:p w:rsidR="001B66EE" w:rsidRPr="006D196E" w:rsidRDefault="005A4C3D" w:rsidP="007C5746">
            <w:pPr>
              <w:pStyle w:val="ListParagraph"/>
              <w:ind w:left="0"/>
            </w:pPr>
            <w:r>
              <w:t xml:space="preserve">Presentation of </w:t>
            </w:r>
            <w:r w:rsidR="007C5746">
              <w:t>draft panel</w:t>
            </w:r>
            <w:r>
              <w:t xml:space="preserve"> designs</w:t>
            </w:r>
            <w:r w:rsidR="006A58C5">
              <w:t xml:space="preserve"> </w:t>
            </w:r>
          </w:p>
        </w:tc>
      </w:tr>
      <w:tr w:rsidR="001B66EE" w:rsidTr="001B66EE">
        <w:tc>
          <w:tcPr>
            <w:tcW w:w="1609" w:type="dxa"/>
          </w:tcPr>
          <w:p w:rsidR="001B66EE" w:rsidRPr="00242773" w:rsidRDefault="00572720" w:rsidP="00572720">
            <w:r w:rsidRPr="00242773">
              <w:t>31/12</w:t>
            </w:r>
            <w:r w:rsidR="006A58C5" w:rsidRPr="00242773">
              <w:t>/2014</w:t>
            </w:r>
          </w:p>
        </w:tc>
        <w:tc>
          <w:tcPr>
            <w:tcW w:w="2004" w:type="dxa"/>
          </w:tcPr>
          <w:p w:rsidR="001B66EE" w:rsidRPr="006D196E" w:rsidRDefault="005A4C3D" w:rsidP="005A4C3D">
            <w:pPr>
              <w:pStyle w:val="ListParagraph"/>
              <w:ind w:left="0"/>
            </w:pPr>
            <w:r>
              <w:t>Project complete</w:t>
            </w:r>
          </w:p>
        </w:tc>
        <w:tc>
          <w:tcPr>
            <w:tcW w:w="4843" w:type="dxa"/>
          </w:tcPr>
          <w:p w:rsidR="001B66EE" w:rsidRPr="006D196E" w:rsidRDefault="001B66EE" w:rsidP="006D196E">
            <w:pPr>
              <w:pStyle w:val="ListParagraph"/>
              <w:ind w:left="0"/>
            </w:pPr>
          </w:p>
        </w:tc>
      </w:tr>
    </w:tbl>
    <w:p w:rsidR="006D196E" w:rsidRDefault="006D196E" w:rsidP="002308ED">
      <w:pPr>
        <w:rPr>
          <w:b/>
        </w:rPr>
      </w:pPr>
    </w:p>
    <w:p w:rsidR="002308ED" w:rsidRDefault="002308ED" w:rsidP="002308ED">
      <w:r w:rsidRPr="002308ED">
        <w:t xml:space="preserve">This is an indicative process plan.  </w:t>
      </w:r>
      <w:r>
        <w:t>Proposers are encouraged to suggest additional approaches and methodologies which will innovate and provide value for money and additional insight to the project.</w:t>
      </w:r>
    </w:p>
    <w:p w:rsidR="002308ED" w:rsidRDefault="002308ED" w:rsidP="002308ED">
      <w:r>
        <w:lastRenderedPageBreak/>
        <w:t xml:space="preserve">Please note all </w:t>
      </w:r>
      <w:r w:rsidR="0009553F" w:rsidRPr="0009553F">
        <w:t>drafts that</w:t>
      </w:r>
      <w:r w:rsidRPr="002308ED">
        <w:t xml:space="preserve"> are to be produced in accessible style and wil</w:t>
      </w:r>
      <w:r w:rsidR="00242773">
        <w:t>l only be signed off once CCGHT, T</w:t>
      </w:r>
      <w:r w:rsidR="0009553F">
        <w:t>he Dark Hedges Preservation Trust</w:t>
      </w:r>
      <w:r w:rsidR="00242773">
        <w:t xml:space="preserve"> and Ballymoney Borough Council</w:t>
      </w:r>
      <w:r w:rsidR="0009553F">
        <w:t xml:space="preserve"> </w:t>
      </w:r>
      <w:r w:rsidRPr="002308ED">
        <w:t>ha</w:t>
      </w:r>
      <w:r w:rsidR="0009553F">
        <w:t>ve</w:t>
      </w:r>
      <w:r w:rsidRPr="002308ED">
        <w:t xml:space="preserve"> agreed associated drafts. </w:t>
      </w:r>
      <w:r>
        <w:t xml:space="preserve">All such </w:t>
      </w:r>
      <w:r w:rsidR="0009553F">
        <w:t>drafts</w:t>
      </w:r>
      <w:r>
        <w:t xml:space="preserve"> of the project will be the property of </w:t>
      </w:r>
      <w:r w:rsidR="00242773">
        <w:t xml:space="preserve">CCGHT, The </w:t>
      </w:r>
      <w:r w:rsidR="0009553F">
        <w:t>Dark Hedges Preservation Trust</w:t>
      </w:r>
      <w:r w:rsidR="00242773">
        <w:t xml:space="preserve"> and Ballymoney Borough Council</w:t>
      </w:r>
      <w:r>
        <w:t>.</w:t>
      </w:r>
    </w:p>
    <w:p w:rsidR="00996001" w:rsidRDefault="00996001" w:rsidP="00996001">
      <w:pPr>
        <w:pStyle w:val="ListParagraph"/>
        <w:ind w:left="426"/>
        <w:rPr>
          <w:b/>
        </w:rPr>
      </w:pPr>
    </w:p>
    <w:p w:rsidR="00242773" w:rsidRDefault="00242773" w:rsidP="00996001">
      <w:pPr>
        <w:pStyle w:val="ListParagraph"/>
        <w:ind w:left="426"/>
        <w:rPr>
          <w:b/>
        </w:rPr>
      </w:pPr>
    </w:p>
    <w:p w:rsidR="00242773" w:rsidRDefault="00242773" w:rsidP="00996001">
      <w:pPr>
        <w:pStyle w:val="ListParagraph"/>
        <w:ind w:left="426"/>
        <w:rPr>
          <w:b/>
        </w:rPr>
      </w:pPr>
    </w:p>
    <w:p w:rsidR="002308ED" w:rsidRPr="00B4230C" w:rsidRDefault="00477089" w:rsidP="008236AA">
      <w:pPr>
        <w:pStyle w:val="ListParagraph"/>
        <w:numPr>
          <w:ilvl w:val="0"/>
          <w:numId w:val="1"/>
        </w:numPr>
        <w:ind w:left="426" w:hanging="426"/>
        <w:rPr>
          <w:b/>
        </w:rPr>
      </w:pPr>
      <w:r w:rsidRPr="00B4230C">
        <w:rPr>
          <w:b/>
        </w:rPr>
        <w:t>INSTRUCTION TO BIDDERS</w:t>
      </w:r>
    </w:p>
    <w:p w:rsidR="000E2DAF" w:rsidRPr="00B4230C" w:rsidRDefault="000E2DAF" w:rsidP="000E2DAF">
      <w:pPr>
        <w:pStyle w:val="ListParagraph"/>
        <w:ind w:left="426"/>
        <w:rPr>
          <w:b/>
        </w:rPr>
      </w:pPr>
    </w:p>
    <w:p w:rsidR="002308ED" w:rsidRPr="00B4230C" w:rsidRDefault="000E2DAF" w:rsidP="000E2DAF">
      <w:pPr>
        <w:pStyle w:val="ListParagraph"/>
        <w:numPr>
          <w:ilvl w:val="1"/>
          <w:numId w:val="1"/>
        </w:numPr>
      </w:pPr>
      <w:r w:rsidRPr="00B4230C">
        <w:t>Essential Criteria</w:t>
      </w:r>
    </w:p>
    <w:tbl>
      <w:tblPr>
        <w:tblStyle w:val="TableGrid"/>
        <w:tblW w:w="0" w:type="auto"/>
        <w:tblInd w:w="1070" w:type="dxa"/>
        <w:tblLook w:val="04A0"/>
      </w:tblPr>
      <w:tblGrid>
        <w:gridCol w:w="8172"/>
      </w:tblGrid>
      <w:tr w:rsidR="000E2DAF" w:rsidRPr="00B4230C" w:rsidTr="001A52C9">
        <w:tc>
          <w:tcPr>
            <w:tcW w:w="8172" w:type="dxa"/>
          </w:tcPr>
          <w:p w:rsidR="000E2DAF" w:rsidRPr="00B4230C" w:rsidRDefault="000E2DAF" w:rsidP="005610CC">
            <w:pPr>
              <w:pStyle w:val="ListParagraph"/>
              <w:ind w:left="0"/>
            </w:pPr>
            <w:r w:rsidRPr="00B4230C">
              <w:t xml:space="preserve">Evidence of a clear methodology i.e. a </w:t>
            </w:r>
            <w:proofErr w:type="gramStart"/>
            <w:r w:rsidRPr="00B4230C">
              <w:t>programme  outlining</w:t>
            </w:r>
            <w:proofErr w:type="gramEnd"/>
            <w:r w:rsidRPr="00B4230C">
              <w:t xml:space="preserve"> how the proposer would take the project forward and outlining timelines and dates for draft </w:t>
            </w:r>
            <w:r w:rsidR="005610CC" w:rsidRPr="00B4230C">
              <w:t>proposals.</w:t>
            </w:r>
          </w:p>
        </w:tc>
      </w:tr>
      <w:tr w:rsidR="000E2DAF" w:rsidRPr="00B4230C" w:rsidTr="001A52C9">
        <w:tc>
          <w:tcPr>
            <w:tcW w:w="8172" w:type="dxa"/>
          </w:tcPr>
          <w:p w:rsidR="000E2DAF" w:rsidRPr="00B4230C" w:rsidRDefault="000E2DAF" w:rsidP="000E2DAF">
            <w:pPr>
              <w:pStyle w:val="ListParagraph"/>
              <w:ind w:left="0"/>
            </w:pPr>
            <w:r w:rsidRPr="00B4230C">
              <w:t xml:space="preserve">Evidence of details of the skills and experience of the proposer; including a brief portfolio </w:t>
            </w:r>
            <w:r w:rsidR="001A52C9" w:rsidRPr="00B4230C">
              <w:t>of previous relevant work.</w:t>
            </w:r>
          </w:p>
        </w:tc>
      </w:tr>
      <w:tr w:rsidR="000E2DAF" w:rsidRPr="00B4230C" w:rsidTr="001A52C9">
        <w:tc>
          <w:tcPr>
            <w:tcW w:w="8172" w:type="dxa"/>
          </w:tcPr>
          <w:p w:rsidR="000E2DAF" w:rsidRPr="00B4230C" w:rsidRDefault="001A52C9" w:rsidP="000E2DAF">
            <w:pPr>
              <w:pStyle w:val="ListParagraph"/>
              <w:ind w:left="0"/>
            </w:pPr>
            <w:r w:rsidRPr="00B4230C">
              <w:t>Ability to complete the project within budget.</w:t>
            </w:r>
          </w:p>
        </w:tc>
      </w:tr>
      <w:tr w:rsidR="000E2DAF" w:rsidRPr="00B4230C" w:rsidTr="001A52C9">
        <w:tc>
          <w:tcPr>
            <w:tcW w:w="8172" w:type="dxa"/>
          </w:tcPr>
          <w:p w:rsidR="000E2DAF" w:rsidRPr="00B4230C" w:rsidRDefault="001A52C9" w:rsidP="000E2DAF">
            <w:pPr>
              <w:pStyle w:val="ListParagraph"/>
              <w:ind w:left="0"/>
            </w:pPr>
            <w:r w:rsidRPr="00B4230C">
              <w:t>Availability to complete the work within the agreed timescale.</w:t>
            </w:r>
          </w:p>
        </w:tc>
      </w:tr>
    </w:tbl>
    <w:p w:rsidR="001A52C9" w:rsidRPr="00B4230C" w:rsidRDefault="001A52C9" w:rsidP="001A52C9">
      <w:pPr>
        <w:pStyle w:val="ListParagraph"/>
        <w:ind w:left="0"/>
        <w:rPr>
          <w:b/>
        </w:rPr>
      </w:pPr>
    </w:p>
    <w:p w:rsidR="000E2DAF" w:rsidRPr="00B4230C" w:rsidRDefault="001A52C9" w:rsidP="001A52C9">
      <w:pPr>
        <w:pStyle w:val="ListParagraph"/>
        <w:ind w:left="0"/>
        <w:rPr>
          <w:b/>
        </w:rPr>
      </w:pPr>
      <w:r w:rsidRPr="00B4230C">
        <w:rPr>
          <w:b/>
        </w:rPr>
        <w:t>Failure to evidence any of the above criteria will invalidate the tender.</w:t>
      </w:r>
    </w:p>
    <w:p w:rsidR="00477089" w:rsidRPr="00B4230C" w:rsidRDefault="00477089" w:rsidP="001A52C9">
      <w:pPr>
        <w:pStyle w:val="ListParagraph"/>
        <w:ind w:left="0"/>
        <w:rPr>
          <w:b/>
        </w:rPr>
      </w:pPr>
    </w:p>
    <w:p w:rsidR="00477089" w:rsidRPr="00B4230C" w:rsidRDefault="00477089" w:rsidP="001A52C9">
      <w:pPr>
        <w:pStyle w:val="ListParagraph"/>
        <w:ind w:left="0"/>
        <w:rPr>
          <w:b/>
        </w:rPr>
      </w:pPr>
    </w:p>
    <w:p w:rsidR="00477089" w:rsidRPr="00B4230C" w:rsidRDefault="00477089" w:rsidP="001A52C9">
      <w:pPr>
        <w:pStyle w:val="ListParagraph"/>
        <w:ind w:left="0"/>
        <w:rPr>
          <w:b/>
        </w:rPr>
      </w:pPr>
    </w:p>
    <w:p w:rsidR="000E2DAF" w:rsidRDefault="001A52C9" w:rsidP="000E2DAF">
      <w:pPr>
        <w:pStyle w:val="ListParagraph"/>
        <w:numPr>
          <w:ilvl w:val="1"/>
          <w:numId w:val="1"/>
        </w:numPr>
        <w:rPr>
          <w:b/>
        </w:rPr>
      </w:pPr>
      <w:r w:rsidRPr="001A52C9">
        <w:rPr>
          <w:b/>
        </w:rPr>
        <w:t xml:space="preserve">Eligible </w:t>
      </w:r>
      <w:r>
        <w:rPr>
          <w:b/>
        </w:rPr>
        <w:t>proposal will be considered against the following award criteria.</w:t>
      </w:r>
    </w:p>
    <w:tbl>
      <w:tblPr>
        <w:tblStyle w:val="TableGrid"/>
        <w:tblW w:w="0" w:type="auto"/>
        <w:tblInd w:w="720" w:type="dxa"/>
        <w:tblLook w:val="04A0"/>
      </w:tblPr>
      <w:tblGrid>
        <w:gridCol w:w="6901"/>
        <w:gridCol w:w="1621"/>
      </w:tblGrid>
      <w:tr w:rsidR="001A52C9" w:rsidTr="001A52C9">
        <w:tc>
          <w:tcPr>
            <w:tcW w:w="6901" w:type="dxa"/>
          </w:tcPr>
          <w:p w:rsidR="001A52C9" w:rsidRDefault="001A52C9" w:rsidP="001A52C9">
            <w:pPr>
              <w:rPr>
                <w:b/>
              </w:rPr>
            </w:pPr>
            <w:r>
              <w:rPr>
                <w:b/>
              </w:rPr>
              <w:t xml:space="preserve">CRITERIA </w:t>
            </w:r>
          </w:p>
        </w:tc>
        <w:tc>
          <w:tcPr>
            <w:tcW w:w="1621" w:type="dxa"/>
          </w:tcPr>
          <w:p w:rsidR="001A52C9" w:rsidRDefault="001A52C9" w:rsidP="001A52C9">
            <w:pPr>
              <w:rPr>
                <w:b/>
              </w:rPr>
            </w:pPr>
            <w:r>
              <w:rPr>
                <w:b/>
              </w:rPr>
              <w:t>WEIGHT</w:t>
            </w:r>
          </w:p>
        </w:tc>
      </w:tr>
      <w:tr w:rsidR="001A52C9" w:rsidTr="001A52C9">
        <w:tc>
          <w:tcPr>
            <w:tcW w:w="6901" w:type="dxa"/>
          </w:tcPr>
          <w:p w:rsidR="001A52C9" w:rsidRPr="001A52C9" w:rsidRDefault="001A52C9" w:rsidP="001A52C9">
            <w:r w:rsidRPr="001A52C9">
              <w:t>Understanding of the CCGHT project</w:t>
            </w:r>
          </w:p>
        </w:tc>
        <w:tc>
          <w:tcPr>
            <w:tcW w:w="1621" w:type="dxa"/>
          </w:tcPr>
          <w:p w:rsidR="001A52C9" w:rsidRPr="001A52C9" w:rsidRDefault="00572720" w:rsidP="005610CC">
            <w:r>
              <w:t>4</w:t>
            </w:r>
            <w:r w:rsidR="005610CC">
              <w:t>0</w:t>
            </w:r>
            <w:r w:rsidR="001A52C9" w:rsidRPr="001A52C9">
              <w:t>%</w:t>
            </w:r>
          </w:p>
        </w:tc>
      </w:tr>
      <w:tr w:rsidR="001A52C9" w:rsidTr="001A52C9">
        <w:tc>
          <w:tcPr>
            <w:tcW w:w="6901" w:type="dxa"/>
          </w:tcPr>
          <w:p w:rsidR="001A52C9" w:rsidRPr="00B4230C" w:rsidRDefault="003F348E" w:rsidP="001A52C9">
            <w:r>
              <w:t>Evidence</w:t>
            </w:r>
            <w:r w:rsidR="005610CC" w:rsidRPr="00B4230C">
              <w:t xml:space="preserve"> of previous similar projects</w:t>
            </w:r>
          </w:p>
        </w:tc>
        <w:tc>
          <w:tcPr>
            <w:tcW w:w="1621" w:type="dxa"/>
          </w:tcPr>
          <w:p w:rsidR="001A52C9" w:rsidRPr="001A52C9" w:rsidRDefault="005610CC" w:rsidP="001A52C9">
            <w:r>
              <w:t>30</w:t>
            </w:r>
            <w:r w:rsidR="008A7B47">
              <w:t>%</w:t>
            </w:r>
          </w:p>
        </w:tc>
      </w:tr>
      <w:tr w:rsidR="008A7B47" w:rsidTr="001A52C9">
        <w:tc>
          <w:tcPr>
            <w:tcW w:w="6901" w:type="dxa"/>
          </w:tcPr>
          <w:p w:rsidR="008A7B47" w:rsidRPr="001A52C9" w:rsidRDefault="008A7B47" w:rsidP="001A52C9">
            <w:r>
              <w:t>Detailed costing including daily rates, number of days, VAT and other proposed expenses.</w:t>
            </w:r>
          </w:p>
        </w:tc>
        <w:tc>
          <w:tcPr>
            <w:tcW w:w="1621" w:type="dxa"/>
          </w:tcPr>
          <w:p w:rsidR="008A7B47" w:rsidRPr="001A52C9" w:rsidRDefault="005A4C3D" w:rsidP="001A52C9">
            <w:r>
              <w:t>3</w:t>
            </w:r>
            <w:r w:rsidR="005610CC">
              <w:t>0</w:t>
            </w:r>
            <w:r w:rsidR="008A7B47">
              <w:t>%</w:t>
            </w:r>
          </w:p>
        </w:tc>
      </w:tr>
    </w:tbl>
    <w:p w:rsidR="001A52C9" w:rsidRDefault="001A52C9" w:rsidP="001A52C9">
      <w:pPr>
        <w:ind w:left="720"/>
        <w:rPr>
          <w:b/>
        </w:rPr>
      </w:pPr>
    </w:p>
    <w:p w:rsidR="008A7B47" w:rsidRDefault="008A7B47" w:rsidP="008A7B47">
      <w:r>
        <w:t>The response doc</w:t>
      </w:r>
      <w:r w:rsidR="006D61BE">
        <w:t>ument should be no longer than five</w:t>
      </w:r>
      <w:r w:rsidR="005610CC">
        <w:t xml:space="preserve"> </w:t>
      </w:r>
      <w:r>
        <w:t>A4 pages using font size 12, this excludes CVs.</w:t>
      </w:r>
    </w:p>
    <w:p w:rsidR="0093629B" w:rsidRDefault="008A7B47" w:rsidP="008A7B47">
      <w:r>
        <w:t xml:space="preserve">Failure </w:t>
      </w:r>
      <w:r w:rsidR="008921A2">
        <w:t>to address any of the above issues will invalidate the tender.</w:t>
      </w:r>
    </w:p>
    <w:p w:rsidR="008921A2" w:rsidRDefault="0093629B" w:rsidP="008A7B47">
      <w:r>
        <w:t xml:space="preserve"> </w:t>
      </w:r>
    </w:p>
    <w:p w:rsidR="008921A2" w:rsidRDefault="008921A2" w:rsidP="008921A2">
      <w:pPr>
        <w:pStyle w:val="ListParagraph"/>
        <w:numPr>
          <w:ilvl w:val="0"/>
          <w:numId w:val="1"/>
        </w:numPr>
        <w:ind w:left="426" w:hanging="426"/>
        <w:rPr>
          <w:b/>
        </w:rPr>
      </w:pPr>
      <w:r w:rsidRPr="008921A2">
        <w:rPr>
          <w:b/>
        </w:rPr>
        <w:t>BUDGET</w:t>
      </w:r>
    </w:p>
    <w:p w:rsidR="008921A2" w:rsidRDefault="008921A2" w:rsidP="00EA2062">
      <w:pPr>
        <w:pStyle w:val="ListParagraph"/>
        <w:ind w:left="0"/>
      </w:pPr>
      <w:r w:rsidRPr="008921A2">
        <w:t xml:space="preserve">CCGHT </w:t>
      </w:r>
      <w:r>
        <w:t xml:space="preserve">expects </w:t>
      </w:r>
      <w:r w:rsidR="00EA2062">
        <w:t xml:space="preserve">the designer to provide </w:t>
      </w:r>
      <w:r w:rsidR="00B4230C">
        <w:t>a fu</w:t>
      </w:r>
      <w:r w:rsidR="007C5746">
        <w:t>ll breakdown of costs</w:t>
      </w:r>
      <w:r w:rsidR="00EA2062">
        <w:t xml:space="preserve"> including design, manufacture and installation</w:t>
      </w:r>
      <w:r w:rsidR="00996001">
        <w:t>.</w:t>
      </w:r>
      <w:r w:rsidR="00EA2062">
        <w:t xml:space="preserve"> </w:t>
      </w:r>
      <w:r>
        <w:t>This amount includes all fees, travel, publication, direct and indirect costs, expenses and VAT.</w:t>
      </w:r>
      <w:r w:rsidR="00B614E5">
        <w:t xml:space="preserve">  CCGHT may pay the contractor</w:t>
      </w:r>
      <w:r w:rsidR="00B4230C">
        <w:t xml:space="preserve"> </w:t>
      </w:r>
      <w:r w:rsidR="00B614E5">
        <w:t>a series of payments with the final p</w:t>
      </w:r>
      <w:r w:rsidR="005C1254">
        <w:t>ayment</w:t>
      </w:r>
      <w:r w:rsidR="00B614E5">
        <w:t xml:space="preserve"> being </w:t>
      </w:r>
      <w:r w:rsidR="005C1254">
        <w:t>forwarded</w:t>
      </w:r>
      <w:r w:rsidR="00B614E5">
        <w:t xml:space="preserve"> on completion of the project. </w:t>
      </w:r>
    </w:p>
    <w:p w:rsidR="00996001" w:rsidRDefault="00996001" w:rsidP="008921A2">
      <w:pPr>
        <w:pStyle w:val="ListParagraph"/>
        <w:ind w:left="0"/>
      </w:pPr>
    </w:p>
    <w:p w:rsidR="0093629B" w:rsidRDefault="0093629B" w:rsidP="008921A2">
      <w:pPr>
        <w:pStyle w:val="ListParagraph"/>
        <w:ind w:left="0"/>
      </w:pPr>
    </w:p>
    <w:p w:rsidR="0093629B" w:rsidRDefault="0093629B" w:rsidP="008921A2">
      <w:pPr>
        <w:pStyle w:val="ListParagraph"/>
        <w:ind w:left="0"/>
      </w:pPr>
    </w:p>
    <w:p w:rsidR="008921A2" w:rsidRDefault="008921A2" w:rsidP="008921A2">
      <w:pPr>
        <w:rPr>
          <w:b/>
        </w:rPr>
      </w:pPr>
      <w:r w:rsidRPr="008921A2">
        <w:rPr>
          <w:b/>
        </w:rPr>
        <w:lastRenderedPageBreak/>
        <w:t>7.  A</w:t>
      </w:r>
      <w:r>
        <w:rPr>
          <w:b/>
        </w:rPr>
        <w:t>WARD CRITERIA</w:t>
      </w:r>
    </w:p>
    <w:p w:rsidR="00952B42" w:rsidRDefault="005F15E4" w:rsidP="008921A2">
      <w:r>
        <w:t>CCGHT does not bind itself to accept the tender with the lowest stated price.  CCGHT will not compensate the proposer for costs associated with the production of the tender document.</w:t>
      </w:r>
    </w:p>
    <w:p w:rsidR="005F15E4" w:rsidRDefault="005F15E4" w:rsidP="008921A2">
      <w:r>
        <w:t>The contract will be awarded to the most economically advantageous tender overall based on an assessment of price, quality, delivery, technical ability, relevant experience and stated ability to satisfactorily meet the requirements of the contract.</w:t>
      </w:r>
    </w:p>
    <w:p w:rsidR="0093629B" w:rsidRDefault="0093629B" w:rsidP="005F15E4">
      <w:pPr>
        <w:rPr>
          <w:b/>
        </w:rPr>
      </w:pPr>
    </w:p>
    <w:p w:rsidR="005F15E4" w:rsidRDefault="005F15E4" w:rsidP="005F15E4">
      <w:pPr>
        <w:rPr>
          <w:b/>
        </w:rPr>
      </w:pPr>
      <w:r w:rsidRPr="005F15E4">
        <w:rPr>
          <w:b/>
        </w:rPr>
        <w:t xml:space="preserve">8. </w:t>
      </w:r>
      <w:r>
        <w:rPr>
          <w:b/>
        </w:rPr>
        <w:t>OFFICIAL AMENDMENTS</w:t>
      </w:r>
    </w:p>
    <w:p w:rsidR="00622D0D" w:rsidRDefault="00622D0D" w:rsidP="005F15E4">
      <w:r>
        <w:t>Should it be necessary for CCGHT to amend the tender documentation or process in any way, prior to receipt of tenders, all bidders in receipt of documents will be notified simultaneously.  If deemed appropriate the deadline for receipt of tenders will be extended.</w:t>
      </w:r>
    </w:p>
    <w:p w:rsidR="005C1254" w:rsidRDefault="005C1254" w:rsidP="005F15E4">
      <w:pPr>
        <w:rPr>
          <w:b/>
        </w:rPr>
      </w:pPr>
    </w:p>
    <w:p w:rsidR="00622D0D" w:rsidRDefault="00622D0D" w:rsidP="005F15E4">
      <w:pPr>
        <w:rPr>
          <w:b/>
        </w:rPr>
      </w:pPr>
      <w:r w:rsidRPr="00622D0D">
        <w:rPr>
          <w:b/>
        </w:rPr>
        <w:t xml:space="preserve">9. </w:t>
      </w:r>
      <w:r>
        <w:rPr>
          <w:b/>
        </w:rPr>
        <w:t>FURTHER INFORMATION</w:t>
      </w:r>
    </w:p>
    <w:p w:rsidR="00622D0D" w:rsidRDefault="00622D0D" w:rsidP="005F15E4">
      <w:r w:rsidRPr="00622D0D">
        <w:t xml:space="preserve">If you require </w:t>
      </w:r>
      <w:r>
        <w:t xml:space="preserve">any clarification on the above contact CCGHT by email </w:t>
      </w:r>
      <w:hyperlink r:id="rId10" w:history="1">
        <w:r w:rsidR="006255A7" w:rsidRPr="004A3A92">
          <w:rPr>
            <w:rStyle w:val="Hyperlink"/>
          </w:rPr>
          <w:t>info@ccght.org</w:t>
        </w:r>
      </w:hyperlink>
      <w:r>
        <w:t xml:space="preserve"> or by telephone on 02820752100</w:t>
      </w:r>
    </w:p>
    <w:p w:rsidR="00622D0D" w:rsidRDefault="00622D0D" w:rsidP="005F15E4">
      <w:r>
        <w:t xml:space="preserve">The closing date for return of tender proposals is </w:t>
      </w:r>
      <w:r w:rsidR="006255A7">
        <w:t xml:space="preserve">Friday </w:t>
      </w:r>
      <w:r w:rsidR="00EA2062">
        <w:t>31</w:t>
      </w:r>
      <w:r w:rsidR="00EA2062" w:rsidRPr="00EA2062">
        <w:rPr>
          <w:vertAlign w:val="superscript"/>
        </w:rPr>
        <w:t>st</w:t>
      </w:r>
      <w:r w:rsidR="00EA2062">
        <w:t xml:space="preserve"> October </w:t>
      </w:r>
      <w:r w:rsidRPr="00622D0D">
        <w:t>at 12noon</w:t>
      </w:r>
      <w:r>
        <w:t>.</w:t>
      </w:r>
    </w:p>
    <w:p w:rsidR="00622D0D" w:rsidRPr="00622D0D" w:rsidRDefault="00622D0D" w:rsidP="005F15E4">
      <w:pPr>
        <w:rPr>
          <w:i/>
          <w:color w:val="C00000"/>
        </w:rPr>
      </w:pPr>
      <w:r w:rsidRPr="00622D0D">
        <w:rPr>
          <w:b/>
        </w:rPr>
        <w:t>Emailed proposals should be submitted in a</w:t>
      </w:r>
      <w:r>
        <w:rPr>
          <w:b/>
        </w:rPr>
        <w:t>n</w:t>
      </w:r>
      <w:r w:rsidRPr="00622D0D">
        <w:rPr>
          <w:b/>
        </w:rPr>
        <w:t xml:space="preserve"> attachment</w:t>
      </w:r>
      <w:r>
        <w:t xml:space="preserve"> </w:t>
      </w:r>
      <w:r w:rsidR="001B66EE">
        <w:t xml:space="preserve">with </w:t>
      </w:r>
      <w:r w:rsidR="001B66EE" w:rsidRPr="006255A7">
        <w:rPr>
          <w:i/>
        </w:rPr>
        <w:t xml:space="preserve">Tender </w:t>
      </w:r>
      <w:r w:rsidR="006255A7" w:rsidRPr="006255A7">
        <w:rPr>
          <w:i/>
        </w:rPr>
        <w:t xml:space="preserve">DHPT </w:t>
      </w:r>
      <w:r w:rsidR="00B4230C">
        <w:rPr>
          <w:i/>
        </w:rPr>
        <w:t xml:space="preserve">Designs </w:t>
      </w:r>
      <w:r w:rsidR="006255A7">
        <w:rPr>
          <w:i/>
        </w:rPr>
        <w:t>a</w:t>
      </w:r>
      <w:r w:rsidR="001B66EE">
        <w:t>s the subject.  This attachment</w:t>
      </w:r>
      <w:r>
        <w:t xml:space="preserve"> will not be opened until after the closing date and time.</w:t>
      </w:r>
    </w:p>
    <w:p w:rsidR="001B66EE" w:rsidRDefault="00622D0D" w:rsidP="005F15E4">
      <w:r>
        <w:t xml:space="preserve">Posted proposals should be sent </w:t>
      </w:r>
      <w:r w:rsidR="001B66EE">
        <w:t>in an envelope clearly marked with the following:</w:t>
      </w:r>
    </w:p>
    <w:p w:rsidR="006255A7" w:rsidRDefault="006255A7" w:rsidP="005F15E4">
      <w:pPr>
        <w:rPr>
          <w:i/>
        </w:rPr>
      </w:pPr>
      <w:r w:rsidRPr="006255A7">
        <w:rPr>
          <w:i/>
        </w:rPr>
        <w:t>Tender DHPT Design</w:t>
      </w:r>
      <w:r w:rsidR="00B4230C">
        <w:rPr>
          <w:i/>
        </w:rPr>
        <w:t>s</w:t>
      </w:r>
      <w:r w:rsidRPr="006255A7">
        <w:rPr>
          <w:i/>
        </w:rPr>
        <w:t xml:space="preserve"> </w:t>
      </w:r>
    </w:p>
    <w:p w:rsidR="00622D0D" w:rsidRDefault="00622D0D" w:rsidP="005F15E4">
      <w:proofErr w:type="gramStart"/>
      <w:r>
        <w:t>to</w:t>
      </w:r>
      <w:proofErr w:type="gramEnd"/>
      <w:r>
        <w:t>:</w:t>
      </w:r>
    </w:p>
    <w:p w:rsidR="001B66EE" w:rsidRPr="00B4230C" w:rsidRDefault="006255A7" w:rsidP="001B66EE">
      <w:pPr>
        <w:pStyle w:val="NoSpacing"/>
      </w:pPr>
      <w:r w:rsidRPr="00B4230C">
        <w:t>Carole O’Kane</w:t>
      </w:r>
    </w:p>
    <w:p w:rsidR="001B66EE" w:rsidRDefault="001B66EE" w:rsidP="001B66EE">
      <w:pPr>
        <w:pStyle w:val="NoSpacing"/>
      </w:pPr>
      <w:r>
        <w:t>Causeway Coast &amp; Glens Heritage Trust</w:t>
      </w:r>
    </w:p>
    <w:p w:rsidR="001B66EE" w:rsidRDefault="006255A7" w:rsidP="001B66EE">
      <w:pPr>
        <w:pStyle w:val="NoSpacing"/>
      </w:pPr>
      <w:r>
        <w:t>The Old Bank</w:t>
      </w:r>
    </w:p>
    <w:p w:rsidR="001B66EE" w:rsidRDefault="006255A7" w:rsidP="001B66EE">
      <w:pPr>
        <w:pStyle w:val="NoSpacing"/>
      </w:pPr>
      <w:r>
        <w:t>27</w:t>
      </w:r>
      <w:r w:rsidR="001B66EE">
        <w:t xml:space="preserve"> Main Street</w:t>
      </w:r>
    </w:p>
    <w:p w:rsidR="001B66EE" w:rsidRDefault="001B66EE" w:rsidP="001B66EE">
      <w:pPr>
        <w:pStyle w:val="NoSpacing"/>
      </w:pPr>
      <w:r>
        <w:t>Armoy, Ballymoney</w:t>
      </w:r>
    </w:p>
    <w:p w:rsidR="001B66EE" w:rsidRPr="001B66EE" w:rsidRDefault="001B66EE" w:rsidP="001B66EE">
      <w:pPr>
        <w:pStyle w:val="NoSpacing"/>
      </w:pPr>
      <w:r>
        <w:t>BT53 8</w:t>
      </w:r>
      <w:r w:rsidR="006255A7">
        <w:t>SL</w:t>
      </w:r>
    </w:p>
    <w:p w:rsidR="00622D0D" w:rsidRDefault="00622D0D" w:rsidP="001B66EE">
      <w:pPr>
        <w:pStyle w:val="NoSpacing"/>
      </w:pPr>
    </w:p>
    <w:p w:rsidR="00622D0D" w:rsidRDefault="005C1254" w:rsidP="005F15E4">
      <w:r>
        <w:t>Proposals must</w:t>
      </w:r>
      <w:r w:rsidR="001B66EE">
        <w:t xml:space="preserve"> comply with the requirements set out in the tender specification.</w:t>
      </w:r>
    </w:p>
    <w:p w:rsidR="001B66EE" w:rsidRDefault="001B66EE" w:rsidP="005F15E4">
      <w:pPr>
        <w:rPr>
          <w:b/>
        </w:rPr>
      </w:pPr>
      <w:r>
        <w:rPr>
          <w:b/>
        </w:rPr>
        <w:t>Proposals which fail to address these requirements will be ineligible and will not be considered.</w:t>
      </w:r>
    </w:p>
    <w:p w:rsidR="00996001" w:rsidRDefault="00996001" w:rsidP="005F15E4">
      <w:pPr>
        <w:rPr>
          <w:b/>
        </w:rPr>
      </w:pPr>
    </w:p>
    <w:p w:rsidR="0093629B" w:rsidRDefault="0093629B" w:rsidP="005F15E4">
      <w:pPr>
        <w:rPr>
          <w:b/>
        </w:rPr>
      </w:pPr>
    </w:p>
    <w:p w:rsidR="001B66EE" w:rsidRDefault="001B66EE" w:rsidP="005F15E4">
      <w:pPr>
        <w:rPr>
          <w:b/>
        </w:rPr>
      </w:pPr>
      <w:r>
        <w:rPr>
          <w:b/>
        </w:rPr>
        <w:lastRenderedPageBreak/>
        <w:t>10. TIMETABLE</w:t>
      </w:r>
    </w:p>
    <w:tbl>
      <w:tblPr>
        <w:tblStyle w:val="TableGrid"/>
        <w:tblW w:w="0" w:type="auto"/>
        <w:tblLook w:val="04A0"/>
      </w:tblPr>
      <w:tblGrid>
        <w:gridCol w:w="6771"/>
        <w:gridCol w:w="2471"/>
      </w:tblGrid>
      <w:tr w:rsidR="001B66EE" w:rsidTr="001B66EE">
        <w:tc>
          <w:tcPr>
            <w:tcW w:w="6771" w:type="dxa"/>
          </w:tcPr>
          <w:p w:rsidR="001B66EE" w:rsidRDefault="001B66EE" w:rsidP="005F15E4">
            <w:pPr>
              <w:rPr>
                <w:b/>
              </w:rPr>
            </w:pPr>
            <w:r>
              <w:rPr>
                <w:b/>
              </w:rPr>
              <w:t>KEY ACTIONS</w:t>
            </w:r>
          </w:p>
        </w:tc>
        <w:tc>
          <w:tcPr>
            <w:tcW w:w="2471" w:type="dxa"/>
          </w:tcPr>
          <w:p w:rsidR="001B66EE" w:rsidRDefault="001B66EE" w:rsidP="005F15E4">
            <w:pPr>
              <w:rPr>
                <w:b/>
              </w:rPr>
            </w:pPr>
            <w:r>
              <w:rPr>
                <w:b/>
              </w:rPr>
              <w:t>DATE</w:t>
            </w:r>
          </w:p>
        </w:tc>
      </w:tr>
      <w:tr w:rsidR="001B66EE" w:rsidTr="001B66EE">
        <w:tc>
          <w:tcPr>
            <w:tcW w:w="6771" w:type="dxa"/>
          </w:tcPr>
          <w:p w:rsidR="001B66EE" w:rsidRPr="001B66EE" w:rsidRDefault="001B66EE" w:rsidP="005F15E4">
            <w:r w:rsidRPr="001B66EE">
              <w:t>Issue Tender</w:t>
            </w:r>
          </w:p>
        </w:tc>
        <w:tc>
          <w:tcPr>
            <w:tcW w:w="2471" w:type="dxa"/>
          </w:tcPr>
          <w:p w:rsidR="001B66EE" w:rsidRPr="00242773" w:rsidRDefault="00EA2062" w:rsidP="006D61BE">
            <w:r w:rsidRPr="00242773">
              <w:t>15.10.2014</w:t>
            </w:r>
          </w:p>
        </w:tc>
      </w:tr>
      <w:tr w:rsidR="001B66EE" w:rsidTr="001B66EE">
        <w:tc>
          <w:tcPr>
            <w:tcW w:w="6771" w:type="dxa"/>
          </w:tcPr>
          <w:p w:rsidR="001B66EE" w:rsidRPr="001B66EE" w:rsidRDefault="001B66EE" w:rsidP="005F15E4">
            <w:r>
              <w:t>Closing Date for Return of Tender</w:t>
            </w:r>
          </w:p>
        </w:tc>
        <w:tc>
          <w:tcPr>
            <w:tcW w:w="2471" w:type="dxa"/>
          </w:tcPr>
          <w:p w:rsidR="001B66EE" w:rsidRPr="00242773" w:rsidRDefault="00EA2062" w:rsidP="005F15E4">
            <w:r w:rsidRPr="00242773">
              <w:t>31.05.</w:t>
            </w:r>
            <w:r w:rsidR="006255A7" w:rsidRPr="00242773">
              <w:t>2014</w:t>
            </w:r>
          </w:p>
        </w:tc>
      </w:tr>
      <w:tr w:rsidR="00B614E5" w:rsidTr="001B66EE">
        <w:tc>
          <w:tcPr>
            <w:tcW w:w="6771" w:type="dxa"/>
          </w:tcPr>
          <w:p w:rsidR="00B614E5" w:rsidRDefault="00B614E5" w:rsidP="005F15E4">
            <w:r>
              <w:t>Project Initiation Meeting</w:t>
            </w:r>
            <w:r w:rsidR="006255A7">
              <w:t>, if required</w:t>
            </w:r>
          </w:p>
        </w:tc>
        <w:tc>
          <w:tcPr>
            <w:tcW w:w="2471" w:type="dxa"/>
          </w:tcPr>
          <w:p w:rsidR="00B614E5" w:rsidRPr="00242773" w:rsidRDefault="00EA2062" w:rsidP="005F15E4">
            <w:r w:rsidRPr="00242773">
              <w:t>05.11.2014</w:t>
            </w:r>
          </w:p>
        </w:tc>
      </w:tr>
      <w:tr w:rsidR="001B66EE" w:rsidTr="001B66EE">
        <w:tc>
          <w:tcPr>
            <w:tcW w:w="6771" w:type="dxa"/>
          </w:tcPr>
          <w:p w:rsidR="001B66EE" w:rsidRPr="001B66EE" w:rsidRDefault="001B66EE" w:rsidP="005F15E4">
            <w:r>
              <w:t>Contract Award</w:t>
            </w:r>
            <w:r w:rsidR="006255A7">
              <w:t xml:space="preserve"> and commencement</w:t>
            </w:r>
          </w:p>
        </w:tc>
        <w:tc>
          <w:tcPr>
            <w:tcW w:w="2471" w:type="dxa"/>
          </w:tcPr>
          <w:p w:rsidR="001B66EE" w:rsidRPr="00242773" w:rsidRDefault="00EA2062" w:rsidP="006255A7">
            <w:r w:rsidRPr="00242773">
              <w:t>05.11.2014</w:t>
            </w:r>
          </w:p>
        </w:tc>
      </w:tr>
      <w:tr w:rsidR="001B66EE" w:rsidTr="001B66EE">
        <w:tc>
          <w:tcPr>
            <w:tcW w:w="6771" w:type="dxa"/>
          </w:tcPr>
          <w:p w:rsidR="001B66EE" w:rsidRDefault="001B66EE" w:rsidP="005F15E4">
            <w:r>
              <w:t>Contract completion</w:t>
            </w:r>
          </w:p>
        </w:tc>
        <w:tc>
          <w:tcPr>
            <w:tcW w:w="2471" w:type="dxa"/>
          </w:tcPr>
          <w:p w:rsidR="001B66EE" w:rsidRPr="00242773" w:rsidRDefault="00EA2062" w:rsidP="001B66EE">
            <w:r w:rsidRPr="00242773">
              <w:t>31.12.2014</w:t>
            </w:r>
          </w:p>
        </w:tc>
      </w:tr>
      <w:tr w:rsidR="00B614E5" w:rsidTr="001B66EE">
        <w:tc>
          <w:tcPr>
            <w:tcW w:w="6771" w:type="dxa"/>
          </w:tcPr>
          <w:p w:rsidR="00B614E5" w:rsidRDefault="00B614E5" w:rsidP="005F15E4">
            <w:r>
              <w:t>Presentation of final project (If required)</w:t>
            </w:r>
          </w:p>
        </w:tc>
        <w:tc>
          <w:tcPr>
            <w:tcW w:w="2471" w:type="dxa"/>
          </w:tcPr>
          <w:p w:rsidR="00B614E5" w:rsidRPr="00242773" w:rsidRDefault="00EA2062" w:rsidP="001B66EE">
            <w:r w:rsidRPr="00242773">
              <w:t>31.12.2014</w:t>
            </w:r>
          </w:p>
        </w:tc>
      </w:tr>
    </w:tbl>
    <w:p w:rsidR="001B66EE" w:rsidRDefault="001B66EE" w:rsidP="00835ED1">
      <w:pPr>
        <w:rPr>
          <w:b/>
        </w:rPr>
      </w:pPr>
    </w:p>
    <w:sectPr w:rsidR="001B66EE" w:rsidSect="004F72CA">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720" w:rsidRDefault="00572720" w:rsidP="00477089">
      <w:pPr>
        <w:spacing w:after="0" w:line="240" w:lineRule="auto"/>
      </w:pPr>
      <w:r>
        <w:separator/>
      </w:r>
    </w:p>
  </w:endnote>
  <w:endnote w:type="continuationSeparator" w:id="0">
    <w:p w:rsidR="00572720" w:rsidRDefault="00572720" w:rsidP="00477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720" w:rsidRDefault="00572720" w:rsidP="00477089">
      <w:pPr>
        <w:spacing w:after="0" w:line="240" w:lineRule="auto"/>
      </w:pPr>
      <w:r>
        <w:separator/>
      </w:r>
    </w:p>
  </w:footnote>
  <w:footnote w:type="continuationSeparator" w:id="0">
    <w:p w:rsidR="00572720" w:rsidRDefault="00572720" w:rsidP="00477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20" w:rsidRDefault="005727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20" w:rsidRDefault="00572720">
    <w:pPr>
      <w:pStyle w:val="Header"/>
    </w:pPr>
    <w:r w:rsidRPr="003F348E">
      <w:rPr>
        <w:noProof/>
        <w:lang w:eastAsia="en-GB"/>
      </w:rPr>
      <w:drawing>
        <wp:inline distT="0" distB="0" distL="0" distR="0">
          <wp:extent cx="4810125" cy="866775"/>
          <wp:effectExtent l="19050" t="0" r="9525" b="0"/>
          <wp:docPr id="2" name="Picture 1" descr="http://www.hlf.org.uk/grantholders/PublishingImages/HLFNL_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lf.org.uk/grantholders/PublishingImages/HLFNL_2747.jpg"/>
                  <pic:cNvPicPr>
                    <a:picLocks noChangeAspect="1" noChangeArrowheads="1"/>
                  </pic:cNvPicPr>
                </pic:nvPicPr>
                <pic:blipFill>
                  <a:blip r:embed="rId1"/>
                  <a:srcRect/>
                  <a:stretch>
                    <a:fillRect/>
                  </a:stretch>
                </pic:blipFill>
                <pic:spPr bwMode="auto">
                  <a:xfrm>
                    <a:off x="0" y="0"/>
                    <a:ext cx="4810125" cy="8667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20" w:rsidRDefault="005727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856"/>
    <w:multiLevelType w:val="hybridMultilevel"/>
    <w:tmpl w:val="EADC86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865C9E"/>
    <w:multiLevelType w:val="hybridMultilevel"/>
    <w:tmpl w:val="E1785732"/>
    <w:lvl w:ilvl="0" w:tplc="0809001B">
      <w:start w:val="1"/>
      <w:numFmt w:val="lowerRoman"/>
      <w:lvlText w:val="%1."/>
      <w:lvlJc w:val="righ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nsid w:val="2E4F423E"/>
    <w:multiLevelType w:val="hybridMultilevel"/>
    <w:tmpl w:val="0C8E0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0E6EDA"/>
    <w:multiLevelType w:val="hybridMultilevel"/>
    <w:tmpl w:val="31A02240"/>
    <w:lvl w:ilvl="0" w:tplc="2B34C35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D83C8E"/>
    <w:multiLevelType w:val="hybridMultilevel"/>
    <w:tmpl w:val="B4E42D7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37A45B83"/>
    <w:multiLevelType w:val="multilevel"/>
    <w:tmpl w:val="335A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530F3"/>
    <w:multiLevelType w:val="multilevel"/>
    <w:tmpl w:val="C688CCD4"/>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45F33F15"/>
    <w:multiLevelType w:val="hybridMultilevel"/>
    <w:tmpl w:val="17FC615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6"/>
  </w:num>
  <w:num w:numId="2">
    <w:abstractNumId w:val="5"/>
  </w:num>
  <w:num w:numId="3">
    <w:abstractNumId w:val="2"/>
  </w:num>
  <w:num w:numId="4">
    <w:abstractNumId w:val="4"/>
  </w:num>
  <w:num w:numId="5">
    <w:abstractNumId w:val="7"/>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6D196E"/>
    <w:rsid w:val="000156D8"/>
    <w:rsid w:val="0009553F"/>
    <w:rsid w:val="000E2DAF"/>
    <w:rsid w:val="000E61D7"/>
    <w:rsid w:val="00122F3C"/>
    <w:rsid w:val="001A52C9"/>
    <w:rsid w:val="001B66EE"/>
    <w:rsid w:val="00222861"/>
    <w:rsid w:val="002308ED"/>
    <w:rsid w:val="00242773"/>
    <w:rsid w:val="0038501E"/>
    <w:rsid w:val="003F348E"/>
    <w:rsid w:val="00477089"/>
    <w:rsid w:val="004A1403"/>
    <w:rsid w:val="004C3669"/>
    <w:rsid w:val="004D77F3"/>
    <w:rsid w:val="004F0F6C"/>
    <w:rsid w:val="004F72CA"/>
    <w:rsid w:val="005415D9"/>
    <w:rsid w:val="005610CC"/>
    <w:rsid w:val="00572720"/>
    <w:rsid w:val="005A4C3D"/>
    <w:rsid w:val="005C1254"/>
    <w:rsid w:val="005D1555"/>
    <w:rsid w:val="005F15E4"/>
    <w:rsid w:val="00622D0D"/>
    <w:rsid w:val="006255A7"/>
    <w:rsid w:val="00697FF4"/>
    <w:rsid w:val="006A4B0E"/>
    <w:rsid w:val="006A58C5"/>
    <w:rsid w:val="006D196E"/>
    <w:rsid w:val="006D61BE"/>
    <w:rsid w:val="00722483"/>
    <w:rsid w:val="007519A3"/>
    <w:rsid w:val="00771BBE"/>
    <w:rsid w:val="007A6BD0"/>
    <w:rsid w:val="007C5746"/>
    <w:rsid w:val="007F00E6"/>
    <w:rsid w:val="007F0D9D"/>
    <w:rsid w:val="008236AA"/>
    <w:rsid w:val="00835ED1"/>
    <w:rsid w:val="008709C8"/>
    <w:rsid w:val="008921A2"/>
    <w:rsid w:val="008A0BBD"/>
    <w:rsid w:val="008A7B47"/>
    <w:rsid w:val="00900263"/>
    <w:rsid w:val="00906D01"/>
    <w:rsid w:val="0093629B"/>
    <w:rsid w:val="00940CCD"/>
    <w:rsid w:val="00951113"/>
    <w:rsid w:val="00952B42"/>
    <w:rsid w:val="00973556"/>
    <w:rsid w:val="00996001"/>
    <w:rsid w:val="009D0BE7"/>
    <w:rsid w:val="00A14F22"/>
    <w:rsid w:val="00B4230C"/>
    <w:rsid w:val="00B614E5"/>
    <w:rsid w:val="00B82785"/>
    <w:rsid w:val="00BA134F"/>
    <w:rsid w:val="00BC359C"/>
    <w:rsid w:val="00BE28B9"/>
    <w:rsid w:val="00C40820"/>
    <w:rsid w:val="00C60FCD"/>
    <w:rsid w:val="00D4660E"/>
    <w:rsid w:val="00DE05B9"/>
    <w:rsid w:val="00E4422B"/>
    <w:rsid w:val="00E46753"/>
    <w:rsid w:val="00E80E7A"/>
    <w:rsid w:val="00EA2062"/>
    <w:rsid w:val="00F51137"/>
    <w:rsid w:val="00F652DB"/>
    <w:rsid w:val="00F8758A"/>
    <w:rsid w:val="00FC5243"/>
    <w:rsid w:val="00FF6B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CA"/>
  </w:style>
  <w:style w:type="paragraph" w:styleId="Heading1">
    <w:name w:val="heading 1"/>
    <w:basedOn w:val="Normal"/>
    <w:next w:val="Normal"/>
    <w:link w:val="Heading1Char"/>
    <w:uiPriority w:val="9"/>
    <w:qFormat/>
    <w:rsid w:val="003F3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nhideWhenUsed/>
    <w:qFormat/>
    <w:rsid w:val="003F348E"/>
    <w:pPr>
      <w:keepLines w:val="0"/>
      <w:spacing w:before="0"/>
      <w:outlineLvl w:val="1"/>
    </w:pPr>
    <w:rPr>
      <w:rFonts w:ascii="Antique Olive" w:eastAsia="Times New Roman" w:hAnsi="Antique Olive" w:cs="Times New Roman"/>
      <w:bCs w:val="0"/>
      <w:iCs/>
      <w:color w:val="auto"/>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96E"/>
    <w:rPr>
      <w:rFonts w:ascii="Tahoma" w:hAnsi="Tahoma" w:cs="Tahoma"/>
      <w:sz w:val="16"/>
      <w:szCs w:val="16"/>
    </w:rPr>
  </w:style>
  <w:style w:type="paragraph" w:styleId="ListParagraph">
    <w:name w:val="List Paragraph"/>
    <w:basedOn w:val="Normal"/>
    <w:uiPriority w:val="34"/>
    <w:qFormat/>
    <w:rsid w:val="006D196E"/>
    <w:pPr>
      <w:ind w:left="720"/>
      <w:contextualSpacing/>
    </w:pPr>
  </w:style>
  <w:style w:type="table" w:styleId="TableGrid">
    <w:name w:val="Table Grid"/>
    <w:basedOn w:val="TableNormal"/>
    <w:uiPriority w:val="59"/>
    <w:rsid w:val="006D1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2D0D"/>
    <w:rPr>
      <w:color w:val="0000FF" w:themeColor="hyperlink"/>
      <w:u w:val="single"/>
    </w:rPr>
  </w:style>
  <w:style w:type="paragraph" w:styleId="NoSpacing">
    <w:name w:val="No Spacing"/>
    <w:uiPriority w:val="1"/>
    <w:qFormat/>
    <w:rsid w:val="001B66EE"/>
    <w:pPr>
      <w:spacing w:after="0" w:line="240" w:lineRule="auto"/>
    </w:pPr>
  </w:style>
  <w:style w:type="paragraph" w:styleId="Header">
    <w:name w:val="header"/>
    <w:basedOn w:val="Normal"/>
    <w:link w:val="HeaderChar"/>
    <w:uiPriority w:val="99"/>
    <w:semiHidden/>
    <w:unhideWhenUsed/>
    <w:rsid w:val="004770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7089"/>
  </w:style>
  <w:style w:type="paragraph" w:styleId="Footer">
    <w:name w:val="footer"/>
    <w:basedOn w:val="Normal"/>
    <w:link w:val="FooterChar"/>
    <w:uiPriority w:val="99"/>
    <w:semiHidden/>
    <w:unhideWhenUsed/>
    <w:rsid w:val="004770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7089"/>
  </w:style>
  <w:style w:type="character" w:customStyle="1" w:styleId="Heading2Char">
    <w:name w:val="Heading 2 Char"/>
    <w:basedOn w:val="DefaultParagraphFont"/>
    <w:link w:val="Heading2"/>
    <w:rsid w:val="003F348E"/>
    <w:rPr>
      <w:rFonts w:ascii="Antique Olive" w:eastAsia="Times New Roman" w:hAnsi="Antique Olive" w:cs="Times New Roman"/>
      <w:b/>
      <w:iCs/>
      <w:kern w:val="32"/>
      <w:sz w:val="28"/>
      <w:szCs w:val="28"/>
    </w:rPr>
  </w:style>
  <w:style w:type="character" w:customStyle="1" w:styleId="Heading1Char">
    <w:name w:val="Heading 1 Char"/>
    <w:basedOn w:val="DefaultParagraphFont"/>
    <w:link w:val="Heading1"/>
    <w:uiPriority w:val="9"/>
    <w:rsid w:val="003F34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cght.org" TargetMode="External"/><Relationship Id="rId4" Type="http://schemas.openxmlformats.org/officeDocument/2006/relationships/settings" Target="settings.xml"/><Relationship Id="rId9" Type="http://schemas.openxmlformats.org/officeDocument/2006/relationships/hyperlink" Target="http://www.nitb.com/BusinessSupport/GrowYourBusiness/BrandGuidelines.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BBE27-D813-4762-B6AA-AF89C422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Regional College</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 O'Kane</cp:lastModifiedBy>
  <cp:revision>4</cp:revision>
  <dcterms:created xsi:type="dcterms:W3CDTF">2014-10-15T12:02:00Z</dcterms:created>
  <dcterms:modified xsi:type="dcterms:W3CDTF">2014-10-16T09:54:00Z</dcterms:modified>
</cp:coreProperties>
</file>